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6793E" w14:textId="77777777" w:rsidR="009C377B" w:rsidRPr="009C377B" w:rsidRDefault="009C377B" w:rsidP="009C377B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Hlk95406301"/>
      <w:r w:rsidRPr="009C377B">
        <w:rPr>
          <w:rFonts w:ascii="Century Gothic" w:hAnsi="Century Gothic"/>
          <w:b/>
          <w:sz w:val="28"/>
          <w:szCs w:val="28"/>
        </w:rPr>
        <w:t>E.G.L.</w:t>
      </w:r>
    </w:p>
    <w:p w14:paraId="3CB9024D" w14:textId="12A5EA76" w:rsidR="00484021" w:rsidRDefault="009C377B" w:rsidP="009C377B">
      <w:pPr>
        <w:jc w:val="center"/>
        <w:rPr>
          <w:rFonts w:ascii="Century Gothic" w:hAnsi="Century Gothic"/>
          <w:b/>
          <w:sz w:val="28"/>
          <w:szCs w:val="28"/>
        </w:rPr>
      </w:pPr>
      <w:r w:rsidRPr="009C377B">
        <w:rPr>
          <w:rFonts w:ascii="Century Gothic" w:hAnsi="Century Gothic"/>
          <w:b/>
          <w:sz w:val="28"/>
          <w:szCs w:val="28"/>
        </w:rPr>
        <w:t>Organisation de la CEPGL pour l'Energie des Pays des Grands Lacs</w:t>
      </w:r>
    </w:p>
    <w:p w14:paraId="54E395CF" w14:textId="5B6710D4" w:rsidR="00484021" w:rsidRDefault="009C377B" w:rsidP="00D326E9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fr-FR"/>
        </w:rPr>
        <w:drawing>
          <wp:inline distT="0" distB="0" distL="0" distR="0" wp14:anchorId="1BFD7B98" wp14:editId="667B433E">
            <wp:extent cx="1213485" cy="1139825"/>
            <wp:effectExtent l="0" t="0" r="5715" b="3175"/>
            <wp:docPr id="1" name="Pictur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61A6A" w14:textId="1D73EA4A" w:rsidR="00484021" w:rsidRPr="00C867F9" w:rsidRDefault="009C377B" w:rsidP="009C377B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  <w:proofErr w:type="gramStart"/>
      <w:r w:rsidRPr="00C867F9">
        <w:rPr>
          <w:rFonts w:ascii="Century Gothic" w:hAnsi="Century Gothic"/>
          <w:b/>
          <w:sz w:val="28"/>
          <w:szCs w:val="28"/>
          <w:lang w:val="en-US"/>
        </w:rPr>
        <w:t>Burundi .</w:t>
      </w:r>
      <w:proofErr w:type="gramEnd"/>
      <w:r w:rsidRPr="00C867F9">
        <w:rPr>
          <w:rFonts w:ascii="Century Gothic" w:hAnsi="Century Gothic"/>
          <w:b/>
          <w:sz w:val="28"/>
          <w:szCs w:val="28"/>
          <w:lang w:val="en-US"/>
        </w:rPr>
        <w:t xml:space="preserve"> RD </w:t>
      </w:r>
      <w:proofErr w:type="gramStart"/>
      <w:r w:rsidRPr="00C867F9">
        <w:rPr>
          <w:rFonts w:ascii="Century Gothic" w:hAnsi="Century Gothic"/>
          <w:b/>
          <w:sz w:val="28"/>
          <w:szCs w:val="28"/>
          <w:lang w:val="en-US"/>
        </w:rPr>
        <w:t>Congo .</w:t>
      </w:r>
      <w:proofErr w:type="gramEnd"/>
      <w:r w:rsidRPr="00C867F9">
        <w:rPr>
          <w:rFonts w:ascii="Century Gothic" w:hAnsi="Century Gothic"/>
          <w:b/>
          <w:sz w:val="28"/>
          <w:szCs w:val="28"/>
          <w:lang w:val="en-US"/>
        </w:rPr>
        <w:t xml:space="preserve"> Rwanda</w:t>
      </w:r>
    </w:p>
    <w:p w14:paraId="38097FB0" w14:textId="77777777" w:rsidR="00484021" w:rsidRPr="00C867F9" w:rsidRDefault="00484021" w:rsidP="00D326E9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0A8E98B5" w14:textId="4A25D22A" w:rsidR="00484021" w:rsidRPr="00C867F9" w:rsidRDefault="00484021" w:rsidP="00D326E9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30A5A9B5" w14:textId="77777777" w:rsidR="00484021" w:rsidRPr="00C867F9" w:rsidRDefault="00484021" w:rsidP="00D326E9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7D536BF3" w14:textId="7AC4E7F9" w:rsidR="00484021" w:rsidRPr="00C867F9" w:rsidRDefault="00080065" w:rsidP="00D326E9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  <w:r w:rsidRPr="00C867F9">
        <w:rPr>
          <w:rFonts w:ascii="Century Gothic" w:hAnsi="Century Gothic"/>
          <w:b/>
          <w:sz w:val="28"/>
          <w:szCs w:val="28"/>
          <w:lang w:val="en-US"/>
        </w:rPr>
        <w:t>ANNEXE 1</w:t>
      </w:r>
    </w:p>
    <w:p w14:paraId="3CFC9795" w14:textId="77777777" w:rsidR="000F3A6C" w:rsidRPr="00C867F9" w:rsidRDefault="000F3A6C" w:rsidP="00D326E9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41500466" w14:textId="77777777" w:rsidR="000F3A6C" w:rsidRPr="00C867F9" w:rsidRDefault="000F3A6C" w:rsidP="00D326E9">
      <w:pPr>
        <w:jc w:val="center"/>
        <w:rPr>
          <w:rFonts w:ascii="Century Gothic" w:hAnsi="Century Gothic"/>
          <w:b/>
          <w:sz w:val="28"/>
          <w:szCs w:val="28"/>
          <w:lang w:val="en-US"/>
        </w:rPr>
      </w:pPr>
    </w:p>
    <w:p w14:paraId="225E3017" w14:textId="090B3018" w:rsidR="00484021" w:rsidRDefault="009C377B" w:rsidP="00D326E9">
      <w:pPr>
        <w:jc w:val="center"/>
        <w:rPr>
          <w:rFonts w:ascii="Century Gothic" w:hAnsi="Century Gothic"/>
          <w:b/>
          <w:sz w:val="28"/>
          <w:szCs w:val="28"/>
        </w:rPr>
      </w:pPr>
      <w:r w:rsidRPr="009C377B">
        <w:rPr>
          <w:rFonts w:ascii="Century Gothic" w:hAnsi="Century Gothic"/>
          <w:b/>
          <w:sz w:val="28"/>
          <w:szCs w:val="28"/>
        </w:rPr>
        <w:t>FICHE DE PRESENTATION DU P</w:t>
      </w:r>
      <w:r>
        <w:rPr>
          <w:rFonts w:ascii="Century Gothic" w:hAnsi="Century Gothic"/>
          <w:b/>
          <w:sz w:val="28"/>
          <w:szCs w:val="28"/>
        </w:rPr>
        <w:t>ROJET DE CONSTRUCTION DE LA CENTRALE HYDROELECTRIQUE REGIONALE RUZIZI III (206 MW)</w:t>
      </w:r>
    </w:p>
    <w:p w14:paraId="0D40C50A" w14:textId="08D3CC94" w:rsidR="009C377B" w:rsidRDefault="009C377B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585D9A12" w14:textId="77777777" w:rsidR="009C76F1" w:rsidRDefault="009C76F1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19EC7E9B" w14:textId="77777777" w:rsidR="009C76F1" w:rsidRDefault="009C76F1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20C1C086" w14:textId="77777777" w:rsidR="009C76F1" w:rsidRDefault="009C76F1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4403A1B5" w14:textId="77777777" w:rsidR="009C76F1" w:rsidRDefault="009C76F1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5A5F6C1A" w14:textId="77777777" w:rsidR="009C76F1" w:rsidRDefault="009C76F1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19C30900" w14:textId="77777777" w:rsidR="009C76F1" w:rsidRDefault="009C76F1" w:rsidP="00D326E9">
      <w:pPr>
        <w:jc w:val="center"/>
        <w:rPr>
          <w:rFonts w:ascii="Century Gothic" w:hAnsi="Century Gothic"/>
          <w:b/>
          <w:sz w:val="28"/>
          <w:szCs w:val="28"/>
        </w:rPr>
      </w:pPr>
    </w:p>
    <w:p w14:paraId="773359E8" w14:textId="1BF1A793" w:rsidR="00554AAD" w:rsidRDefault="009C377B" w:rsidP="00D326E9">
      <w:pPr>
        <w:jc w:val="center"/>
        <w:rPr>
          <w:rFonts w:ascii="Century Gothic" w:hAnsi="Century Gothic"/>
          <w:b/>
          <w:sz w:val="28"/>
          <w:szCs w:val="28"/>
        </w:rPr>
        <w:sectPr w:rsidR="00554AAD" w:rsidSect="009C76F1">
          <w:footerReference w:type="default" r:id="rId8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Century Gothic" w:hAnsi="Century Gothic"/>
          <w:b/>
          <w:sz w:val="28"/>
          <w:szCs w:val="28"/>
        </w:rPr>
        <w:t xml:space="preserve">Bujumbura, </w:t>
      </w:r>
      <w:r w:rsidR="00F0124A">
        <w:rPr>
          <w:rFonts w:ascii="Century Gothic" w:hAnsi="Century Gothic"/>
          <w:b/>
          <w:sz w:val="28"/>
          <w:szCs w:val="28"/>
        </w:rPr>
        <w:t xml:space="preserve">Juin </w:t>
      </w:r>
      <w:r>
        <w:rPr>
          <w:rFonts w:ascii="Century Gothic" w:hAnsi="Century Gothic"/>
          <w:b/>
          <w:sz w:val="28"/>
          <w:szCs w:val="28"/>
        </w:rPr>
        <w:t>202</w:t>
      </w:r>
      <w:bookmarkEnd w:id="0"/>
      <w:r w:rsidR="00A2204B">
        <w:rPr>
          <w:rFonts w:ascii="Century Gothic" w:hAnsi="Century Gothic"/>
          <w:b/>
          <w:sz w:val="28"/>
          <w:szCs w:val="28"/>
        </w:rPr>
        <w:t>4</w:t>
      </w:r>
    </w:p>
    <w:tbl>
      <w:tblPr>
        <w:tblStyle w:val="Grilledutableau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7371"/>
      </w:tblGrid>
      <w:tr w:rsidR="00B35B17" w:rsidRPr="00162B6E" w14:paraId="34D61609" w14:textId="77777777" w:rsidTr="00483C18">
        <w:trPr>
          <w:tblHeader/>
        </w:trPr>
        <w:tc>
          <w:tcPr>
            <w:tcW w:w="567" w:type="dxa"/>
          </w:tcPr>
          <w:p w14:paraId="2977E753" w14:textId="77777777" w:rsidR="00B35B17" w:rsidRPr="00162B6E" w:rsidRDefault="00B35B17" w:rsidP="00423E7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eastAsiaTheme="majorEastAsia" w:hAnsi="Century Gothic" w:cstheme="majorBidi"/>
                <w:b/>
                <w:i/>
                <w:sz w:val="24"/>
                <w:szCs w:val="24"/>
              </w:rPr>
              <w:lastRenderedPageBreak/>
              <w:br w:type="page"/>
            </w:r>
            <w:r w:rsidRPr="00162B6E">
              <w:rPr>
                <w:rFonts w:ascii="Century Gothic" w:hAnsi="Century Gothic"/>
                <w:b/>
                <w:sz w:val="24"/>
                <w:szCs w:val="24"/>
              </w:rPr>
              <w:t>N°</w:t>
            </w:r>
          </w:p>
        </w:tc>
        <w:tc>
          <w:tcPr>
            <w:tcW w:w="2155" w:type="dxa"/>
          </w:tcPr>
          <w:p w14:paraId="77F21871" w14:textId="77777777" w:rsidR="00B35B17" w:rsidRPr="00162B6E" w:rsidRDefault="00B35B17" w:rsidP="00423E7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Sujet</w:t>
            </w:r>
          </w:p>
        </w:tc>
        <w:tc>
          <w:tcPr>
            <w:tcW w:w="7371" w:type="dxa"/>
          </w:tcPr>
          <w:p w14:paraId="1DA09739" w14:textId="73514248" w:rsidR="00B35B17" w:rsidRPr="00162B6E" w:rsidRDefault="00B35B17" w:rsidP="00423E7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Brève description</w:t>
            </w:r>
            <w:r w:rsidR="00AA5822">
              <w:rPr>
                <w:rFonts w:ascii="Century Gothic" w:hAnsi="Century Gothic"/>
                <w:b/>
                <w:sz w:val="24"/>
                <w:szCs w:val="24"/>
              </w:rPr>
              <w:t xml:space="preserve"> et situation actuelle</w:t>
            </w:r>
          </w:p>
        </w:tc>
      </w:tr>
      <w:tr w:rsidR="00B35B17" w:rsidRPr="00162B6E" w14:paraId="763D7192" w14:textId="77777777" w:rsidTr="00122403">
        <w:trPr>
          <w:trHeight w:val="296"/>
        </w:trPr>
        <w:tc>
          <w:tcPr>
            <w:tcW w:w="567" w:type="dxa"/>
          </w:tcPr>
          <w:p w14:paraId="1418372E" w14:textId="77777777" w:rsidR="00B35B17" w:rsidRPr="00162B6E" w:rsidRDefault="00B35B17" w:rsidP="00423E75">
            <w:pPr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2155" w:type="dxa"/>
          </w:tcPr>
          <w:p w14:paraId="0009A65F" w14:textId="77777777" w:rsidR="00B35B17" w:rsidRPr="00162B6E" w:rsidRDefault="00B35B17" w:rsidP="00423E7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Intitulé du projet</w:t>
            </w:r>
          </w:p>
        </w:tc>
        <w:tc>
          <w:tcPr>
            <w:tcW w:w="7371" w:type="dxa"/>
          </w:tcPr>
          <w:p w14:paraId="0D404901" w14:textId="427EB623" w:rsidR="00B35B17" w:rsidRPr="000C6407" w:rsidRDefault="00B35B17" w:rsidP="00423E75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C6407">
              <w:rPr>
                <w:rFonts w:ascii="Century Gothic" w:hAnsi="Century Gothic"/>
                <w:b/>
                <w:bCs/>
                <w:sz w:val="24"/>
                <w:szCs w:val="24"/>
              </w:rPr>
              <w:t>Projet hydroélectrique régional de Ruzizi III (</w:t>
            </w:r>
            <w:r w:rsidR="001B78A3" w:rsidRPr="000C6407"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  <w:r w:rsidR="00CD7F52" w:rsidRPr="000C6407">
              <w:rPr>
                <w:rFonts w:ascii="Century Gothic" w:hAnsi="Century Gothic"/>
                <w:b/>
                <w:bCs/>
                <w:sz w:val="24"/>
                <w:szCs w:val="24"/>
              </w:rPr>
              <w:t>06</w:t>
            </w:r>
            <w:r w:rsidRPr="000C640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MW)</w:t>
            </w:r>
          </w:p>
        </w:tc>
      </w:tr>
      <w:tr w:rsidR="00B35B17" w:rsidRPr="00162B6E" w14:paraId="0CD277DA" w14:textId="77777777" w:rsidTr="00122403">
        <w:trPr>
          <w:trHeight w:val="1296"/>
        </w:trPr>
        <w:tc>
          <w:tcPr>
            <w:tcW w:w="567" w:type="dxa"/>
          </w:tcPr>
          <w:p w14:paraId="2E3ADD1A" w14:textId="77777777" w:rsidR="00B35B17" w:rsidRPr="00162B6E" w:rsidRDefault="00B35B17" w:rsidP="00423E75">
            <w:pPr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t>2.</w:t>
            </w:r>
          </w:p>
        </w:tc>
        <w:tc>
          <w:tcPr>
            <w:tcW w:w="2155" w:type="dxa"/>
          </w:tcPr>
          <w:p w14:paraId="234107D6" w14:textId="77777777" w:rsidR="00B35B17" w:rsidRPr="00162B6E" w:rsidRDefault="00B35B17" w:rsidP="00423E7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Impact</w:t>
            </w:r>
          </w:p>
        </w:tc>
        <w:tc>
          <w:tcPr>
            <w:tcW w:w="7371" w:type="dxa"/>
          </w:tcPr>
          <w:p w14:paraId="10D66AF8" w14:textId="12E857CC" w:rsidR="00B35B17" w:rsidRPr="00162B6E" w:rsidRDefault="00B35B17" w:rsidP="00263D8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t xml:space="preserve">Production de l’énergie électrique d’une capacité de </w:t>
            </w:r>
            <w:r w:rsidR="001B78A3">
              <w:rPr>
                <w:rFonts w:ascii="Century Gothic" w:hAnsi="Century Gothic"/>
                <w:sz w:val="24"/>
                <w:szCs w:val="24"/>
              </w:rPr>
              <w:t>2</w:t>
            </w:r>
            <w:r w:rsidR="00A02326">
              <w:rPr>
                <w:rFonts w:ascii="Century Gothic" w:hAnsi="Century Gothic"/>
                <w:sz w:val="24"/>
                <w:szCs w:val="24"/>
              </w:rPr>
              <w:t>06</w:t>
            </w:r>
            <w:r w:rsidRPr="00162B6E">
              <w:rPr>
                <w:rFonts w:ascii="Century Gothic" w:hAnsi="Century Gothic"/>
                <w:sz w:val="24"/>
                <w:szCs w:val="24"/>
              </w:rPr>
              <w:t xml:space="preserve"> MW à </w:t>
            </w:r>
            <w:r w:rsidR="00263D82">
              <w:rPr>
                <w:rFonts w:ascii="Century Gothic" w:hAnsi="Century Gothic"/>
                <w:sz w:val="24"/>
                <w:szCs w:val="24"/>
              </w:rPr>
              <w:t xml:space="preserve">fournir </w:t>
            </w:r>
            <w:r w:rsidRPr="00162B6E">
              <w:rPr>
                <w:rFonts w:ascii="Century Gothic" w:hAnsi="Century Gothic"/>
                <w:sz w:val="24"/>
                <w:szCs w:val="24"/>
              </w:rPr>
              <w:t xml:space="preserve">de manière équitable aux trois pays </w:t>
            </w:r>
            <w:r w:rsidR="00B13398">
              <w:rPr>
                <w:rFonts w:ascii="Century Gothic" w:hAnsi="Century Gothic"/>
                <w:sz w:val="24"/>
                <w:szCs w:val="24"/>
              </w:rPr>
              <w:t xml:space="preserve">membres </w:t>
            </w:r>
            <w:r w:rsidRPr="00162B6E">
              <w:rPr>
                <w:rFonts w:ascii="Century Gothic" w:hAnsi="Century Gothic"/>
                <w:sz w:val="24"/>
                <w:szCs w:val="24"/>
              </w:rPr>
              <w:t>de la CEPGL en vue de résorber le déficit énergétique sur leurs réseaux électriques respectifs.</w:t>
            </w:r>
          </w:p>
        </w:tc>
      </w:tr>
      <w:tr w:rsidR="00B35B17" w:rsidRPr="00162B6E" w14:paraId="0B58B1FD" w14:textId="77777777" w:rsidTr="00122403">
        <w:trPr>
          <w:trHeight w:val="1445"/>
        </w:trPr>
        <w:tc>
          <w:tcPr>
            <w:tcW w:w="567" w:type="dxa"/>
          </w:tcPr>
          <w:p w14:paraId="014C8BD0" w14:textId="77777777" w:rsidR="00B35B17" w:rsidRPr="00162B6E" w:rsidRDefault="00B35B17" w:rsidP="00423E75">
            <w:pPr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2155" w:type="dxa"/>
          </w:tcPr>
          <w:p w14:paraId="709C6514" w14:textId="77777777" w:rsidR="00B35B17" w:rsidRPr="00162B6E" w:rsidRDefault="00B35B17" w:rsidP="00423E75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 xml:space="preserve"> Mode de montage du projet</w:t>
            </w:r>
          </w:p>
        </w:tc>
        <w:tc>
          <w:tcPr>
            <w:tcW w:w="7371" w:type="dxa"/>
          </w:tcPr>
          <w:p w14:paraId="40C9C9A3" w14:textId="77777777" w:rsidR="00A2204B" w:rsidRDefault="00B35B17" w:rsidP="007B7AC3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162B6E">
              <w:rPr>
                <w:rFonts w:ascii="Century Gothic" w:hAnsi="Century Gothic" w:cs="Arial"/>
                <w:sz w:val="24"/>
                <w:szCs w:val="24"/>
              </w:rPr>
              <w:t>Partenariat Public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A2204B">
              <w:rPr>
                <w:rFonts w:ascii="Century Gothic" w:hAnsi="Century Gothic" w:cs="Arial"/>
                <w:sz w:val="24"/>
                <w:szCs w:val="24"/>
              </w:rPr>
              <w:t>Privé</w:t>
            </w:r>
          </w:p>
          <w:p w14:paraId="25AD366A" w14:textId="77777777" w:rsidR="00A2204B" w:rsidRDefault="00A2204B" w:rsidP="00A2204B">
            <w:pPr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Public </w:t>
            </w:r>
            <w:r w:rsidR="00B35B17">
              <w:rPr>
                <w:rFonts w:ascii="Century Gothic" w:hAnsi="Century Gothic" w:cs="Arial"/>
                <w:sz w:val="24"/>
                <w:szCs w:val="24"/>
              </w:rPr>
              <w:t>(Burundi, RDC, Rwanda)</w:t>
            </w:r>
            <w:r w:rsidR="00B35B17" w:rsidRPr="00162B6E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  <w:r w:rsidR="00B35B17">
              <w:rPr>
                <w:rFonts w:ascii="Century Gothic" w:hAnsi="Century Gothic" w:cs="Arial"/>
                <w:sz w:val="24"/>
                <w:szCs w:val="24"/>
              </w:rPr>
              <w:t xml:space="preserve">pour 30% du capital social </w:t>
            </w:r>
            <w:r w:rsidR="00A02326">
              <w:rPr>
                <w:rFonts w:ascii="Century Gothic" w:hAnsi="Century Gothic" w:cs="Arial"/>
                <w:sz w:val="24"/>
                <w:szCs w:val="24"/>
              </w:rPr>
              <w:t>soit 10% du Capital Social pour chaque Pays</w:t>
            </w:r>
            <w:r w:rsidR="007B7AC3">
              <w:rPr>
                <w:rFonts w:ascii="Century Gothic" w:hAnsi="Century Gothic" w:cs="Arial"/>
                <w:sz w:val="24"/>
                <w:szCs w:val="24"/>
              </w:rPr>
              <w:t>;</w:t>
            </w:r>
          </w:p>
          <w:p w14:paraId="3DF1C3E4" w14:textId="77777777" w:rsidR="00B35B17" w:rsidRDefault="00B35B17" w:rsidP="00A2204B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 w:cs="Arial"/>
                <w:sz w:val="24"/>
                <w:szCs w:val="24"/>
              </w:rPr>
              <w:t xml:space="preserve">Privé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(Consortium </w:t>
            </w:r>
            <w:proofErr w:type="spellStart"/>
            <w:r w:rsidRPr="00162B6E">
              <w:rPr>
                <w:rFonts w:ascii="Century Gothic" w:hAnsi="Century Gothic" w:cs="Arial"/>
                <w:sz w:val="24"/>
                <w:szCs w:val="24"/>
              </w:rPr>
              <w:t>Industrial</w:t>
            </w:r>
            <w:proofErr w:type="spellEnd"/>
            <w:r w:rsidRPr="00162B6E">
              <w:rPr>
                <w:rFonts w:ascii="Century Gothic" w:hAnsi="Century Gothic" w:cs="Arial"/>
                <w:sz w:val="24"/>
                <w:szCs w:val="24"/>
              </w:rPr>
              <w:t xml:space="preserve"> Promotion Servic</w:t>
            </w:r>
            <w:r>
              <w:rPr>
                <w:rFonts w:ascii="Century Gothic" w:hAnsi="Century Gothic" w:cs="Arial"/>
                <w:sz w:val="24"/>
                <w:szCs w:val="24"/>
              </w:rPr>
              <w:t>es, IPS (Kenya) et</w:t>
            </w:r>
            <w:r w:rsidRPr="00162B6E">
              <w:rPr>
                <w:rFonts w:ascii="Century Gothic" w:hAnsi="Century Gothic" w:cs="Arial"/>
                <w:sz w:val="24"/>
                <w:szCs w:val="24"/>
              </w:rPr>
              <w:t xml:space="preserve"> SN Power</w:t>
            </w:r>
            <w:r w:rsidR="00B459CF">
              <w:rPr>
                <w:rFonts w:ascii="Century Gothic" w:hAnsi="Century Gothic" w:cs="Arial"/>
                <w:sz w:val="24"/>
                <w:szCs w:val="24"/>
              </w:rPr>
              <w:t>-SCATEC</w:t>
            </w:r>
            <w:r w:rsidRPr="00162B6E">
              <w:rPr>
                <w:rFonts w:ascii="Century Gothic" w:hAnsi="Century Gothic" w:cs="Arial"/>
                <w:sz w:val="24"/>
                <w:szCs w:val="24"/>
              </w:rPr>
              <w:t xml:space="preserve"> (Norvège)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pour </w:t>
            </w:r>
            <w:r w:rsidRPr="00162B6E">
              <w:rPr>
                <w:rFonts w:ascii="Century Gothic" w:hAnsi="Century Gothic"/>
                <w:sz w:val="24"/>
                <w:szCs w:val="24"/>
              </w:rPr>
              <w:t>70% du Capital Social</w:t>
            </w:r>
            <w:r w:rsidR="007B7AC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8736E7D" w14:textId="77777777" w:rsidR="001606D5" w:rsidRDefault="001606D5" w:rsidP="001606D5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capital social de la Société est de 142 Millions USD réparti comme suit :</w:t>
            </w:r>
          </w:p>
          <w:p w14:paraId="0F6285EF" w14:textId="77777777" w:rsidR="001606D5" w:rsidRDefault="001606D5" w:rsidP="001606D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Le public </w:t>
            </w:r>
            <w:r w:rsidRPr="00162B6E">
              <w:rPr>
                <w:rFonts w:ascii="Century Gothic" w:hAnsi="Century Gothic"/>
                <w:sz w:val="24"/>
                <w:szCs w:val="24"/>
              </w:rPr>
              <w:t>(Burundi, RDC et Rwanda) : 4</w:t>
            </w: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162B6E">
              <w:rPr>
                <w:rFonts w:ascii="Century Gothic" w:hAnsi="Century Gothic"/>
                <w:sz w:val="24"/>
                <w:szCs w:val="24"/>
              </w:rPr>
              <w:t xml:space="preserve"> Millions USD que les multilatéraux vont octroyer aux Etats pour financer leurs Capitaux sociaux.</w:t>
            </w:r>
          </w:p>
          <w:p w14:paraId="0C1110B0" w14:textId="77777777" w:rsidR="001606D5" w:rsidRPr="00514368" w:rsidRDefault="001606D5" w:rsidP="001606D5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hAnsi="Century Gothic" w:cs="Arial"/>
                <w:sz w:val="24"/>
                <w:szCs w:val="24"/>
              </w:rPr>
            </w:pPr>
            <w:r w:rsidRPr="00BD572E">
              <w:rPr>
                <w:rFonts w:ascii="Century Gothic" w:hAnsi="Century Gothic"/>
                <w:sz w:val="24"/>
                <w:szCs w:val="24"/>
              </w:rPr>
              <w:t>Le privé : 100 Millions USD.</w:t>
            </w:r>
          </w:p>
          <w:p w14:paraId="3ADEAB26" w14:textId="3A3AC3E3" w:rsidR="00514368" w:rsidRPr="00CD7F52" w:rsidRDefault="00514368" w:rsidP="00514368">
            <w:pPr>
              <w:pStyle w:val="Paragraphedeliste"/>
              <w:spacing w:after="0" w:line="240" w:lineRule="auto"/>
              <w:ind w:left="643"/>
              <w:jc w:val="both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293E7A" w:rsidRPr="00162B6E" w14:paraId="48C8A919" w14:textId="77777777" w:rsidTr="00122403">
        <w:trPr>
          <w:trHeight w:val="588"/>
        </w:trPr>
        <w:tc>
          <w:tcPr>
            <w:tcW w:w="567" w:type="dxa"/>
          </w:tcPr>
          <w:p w14:paraId="5DE25E63" w14:textId="18493CEC" w:rsidR="00293E7A" w:rsidRPr="00162B6E" w:rsidRDefault="00293E7A" w:rsidP="00293E7A">
            <w:pPr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2155" w:type="dxa"/>
          </w:tcPr>
          <w:p w14:paraId="504BEED4" w14:textId="5437E443" w:rsidR="00293E7A" w:rsidRPr="00162B6E" w:rsidRDefault="001606D5" w:rsidP="001606D5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Aspects techniques </w:t>
            </w:r>
          </w:p>
        </w:tc>
        <w:tc>
          <w:tcPr>
            <w:tcW w:w="7371" w:type="dxa"/>
          </w:tcPr>
          <w:tbl>
            <w:tblPr>
              <w:tblStyle w:val="TableauGrille4-Accentuation1"/>
              <w:tblW w:w="6856" w:type="dxa"/>
              <w:tblInd w:w="29" w:type="dxa"/>
              <w:tblLayout w:type="fixed"/>
              <w:tblLook w:val="0420" w:firstRow="1" w:lastRow="0" w:firstColumn="0" w:lastColumn="0" w:noHBand="0" w:noVBand="1"/>
            </w:tblPr>
            <w:tblGrid>
              <w:gridCol w:w="3577"/>
              <w:gridCol w:w="3279"/>
            </w:tblGrid>
            <w:tr w:rsidR="001606D5" w:rsidRPr="00E3424C" w14:paraId="4BE116D5" w14:textId="77777777" w:rsidTr="0012240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39"/>
                <w:tblHeader/>
              </w:trPr>
              <w:tc>
                <w:tcPr>
                  <w:tcW w:w="3577" w:type="dxa"/>
                </w:tcPr>
                <w:p w14:paraId="485F4819" w14:textId="77777777" w:rsidR="001606D5" w:rsidRPr="00E3424C" w:rsidRDefault="001606D5" w:rsidP="001606D5">
                  <w:pPr>
                    <w:pStyle w:val="Sansinterligne"/>
                    <w:jc w:val="both"/>
                    <w:rPr>
                      <w:rFonts w:ascii="Century Gothic" w:hAnsi="Century Gothic" w:cs="Times New Roman"/>
                      <w:sz w:val="36"/>
                      <w:szCs w:val="36"/>
                      <w:lang w:val="en-GB" w:eastAsia="fr-FR"/>
                    </w:rPr>
                  </w:pPr>
                  <w:proofErr w:type="spellStart"/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Caractéristiques</w:t>
                  </w:r>
                  <w:proofErr w:type="spellEnd"/>
                </w:p>
              </w:tc>
              <w:tc>
                <w:tcPr>
                  <w:tcW w:w="3279" w:type="dxa"/>
                </w:tcPr>
                <w:p w14:paraId="0A5DCF29" w14:textId="77777777" w:rsidR="001606D5" w:rsidRPr="00E3424C" w:rsidRDefault="001606D5" w:rsidP="001606D5">
                  <w:pPr>
                    <w:pStyle w:val="Sansinterligne"/>
                    <w:jc w:val="both"/>
                    <w:rPr>
                      <w:rFonts w:ascii="Century Gothic" w:hAnsi="Century Gothic" w:cs="Times New Roman"/>
                      <w:sz w:val="36"/>
                      <w:szCs w:val="36"/>
                      <w:lang w:eastAsia="fr-FR"/>
                    </w:rPr>
                  </w:pPr>
                  <w:r>
                    <w:rPr>
                      <w:rFonts w:ascii="Century Gothic" w:hAnsi="Century Gothic" w:cs="Times New Roman"/>
                    </w:rPr>
                    <w:t>Valeur</w:t>
                  </w:r>
                </w:p>
              </w:tc>
            </w:tr>
            <w:tr w:rsidR="001606D5" w:rsidRPr="00E3424C" w14:paraId="6E5D9B7A" w14:textId="77777777" w:rsidTr="001224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9"/>
              </w:trPr>
              <w:tc>
                <w:tcPr>
                  <w:tcW w:w="3577" w:type="dxa"/>
                  <w:vAlign w:val="center"/>
                </w:tcPr>
                <w:p w14:paraId="1535D966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 w:eastAsia="fr-FR"/>
                    </w:rPr>
                    <w:t xml:space="preserve">FSL (m </w:t>
                  </w:r>
                  <w:proofErr w:type="spellStart"/>
                  <w:r w:rsidRPr="00E3424C">
                    <w:rPr>
                      <w:rFonts w:ascii="Century Gothic" w:hAnsi="Century Gothic" w:cs="Times New Roman"/>
                      <w:lang w:val="en-GB" w:eastAsia="fr-FR"/>
                    </w:rPr>
                    <w:t>asl</w:t>
                  </w:r>
                  <w:proofErr w:type="spellEnd"/>
                  <w:r w:rsidRPr="00E3424C">
                    <w:rPr>
                      <w:rFonts w:ascii="Century Gothic" w:hAnsi="Century Gothic" w:cs="Times New Roman"/>
                      <w:lang w:val="en-GB" w:eastAsia="fr-FR"/>
                    </w:rPr>
                    <w:t xml:space="preserve">)  </w:t>
                  </w:r>
                </w:p>
              </w:tc>
              <w:tc>
                <w:tcPr>
                  <w:tcW w:w="3279" w:type="dxa"/>
                </w:tcPr>
                <w:p w14:paraId="4DE1E6BC" w14:textId="77777777" w:rsidR="001606D5" w:rsidRPr="00E3424C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sz w:val="36"/>
                      <w:szCs w:val="36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1145</w:t>
                  </w:r>
                </w:p>
              </w:tc>
            </w:tr>
            <w:tr w:rsidR="001606D5" w:rsidRPr="00E3424C" w14:paraId="19CC2C28" w14:textId="77777777" w:rsidTr="00122403">
              <w:trPr>
                <w:trHeight w:val="339"/>
              </w:trPr>
              <w:tc>
                <w:tcPr>
                  <w:tcW w:w="3577" w:type="dxa"/>
                  <w:vAlign w:val="center"/>
                </w:tcPr>
                <w:p w14:paraId="182287B7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Nombre de turbines, Centrale principale</w:t>
                  </w:r>
                </w:p>
              </w:tc>
              <w:tc>
                <w:tcPr>
                  <w:tcW w:w="3279" w:type="dxa"/>
                </w:tcPr>
                <w:p w14:paraId="7FBD3CA3" w14:textId="77777777" w:rsidR="001606D5" w:rsidRPr="00E3424C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sz w:val="36"/>
                      <w:szCs w:val="36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3</w:t>
                  </w:r>
                </w:p>
              </w:tc>
            </w:tr>
            <w:tr w:rsidR="001606D5" w:rsidRPr="00E3424C" w14:paraId="50005295" w14:textId="77777777" w:rsidTr="001224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9"/>
              </w:trPr>
              <w:tc>
                <w:tcPr>
                  <w:tcW w:w="3577" w:type="dxa"/>
                  <w:vAlign w:val="center"/>
                </w:tcPr>
                <w:p w14:paraId="48C6C695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val="en-GB" w:eastAsia="fr-FR"/>
                    </w:rPr>
                  </w:pPr>
                  <w:proofErr w:type="spellStart"/>
                  <w:r w:rsidRPr="00E3424C">
                    <w:rPr>
                      <w:rFonts w:ascii="Century Gothic" w:hAnsi="Century Gothic" w:cs="Times New Roman"/>
                      <w:lang w:val="en-GB" w:eastAsia="fr-FR"/>
                    </w:rPr>
                    <w:t>Débit</w:t>
                  </w:r>
                  <w:proofErr w:type="spellEnd"/>
                  <w:r w:rsidRPr="00E3424C">
                    <w:rPr>
                      <w:rFonts w:ascii="Century Gothic" w:hAnsi="Century Gothic" w:cs="Times New Roman"/>
                      <w:lang w:val="en-GB" w:eastAsia="fr-FR"/>
                    </w:rPr>
                    <w:t xml:space="preserve"> total (m3/s)  </w:t>
                  </w:r>
                </w:p>
              </w:tc>
              <w:tc>
                <w:tcPr>
                  <w:tcW w:w="3279" w:type="dxa"/>
                </w:tcPr>
                <w:p w14:paraId="0CBD29FC" w14:textId="77777777" w:rsidR="001606D5" w:rsidRPr="00E3424C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sz w:val="36"/>
                      <w:szCs w:val="36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150</w:t>
                  </w:r>
                </w:p>
              </w:tc>
            </w:tr>
            <w:tr w:rsidR="001606D5" w:rsidRPr="00E3424C" w14:paraId="2F763E2C" w14:textId="77777777" w:rsidTr="00122403">
              <w:trPr>
                <w:trHeight w:val="339"/>
              </w:trPr>
              <w:tc>
                <w:tcPr>
                  <w:tcW w:w="3577" w:type="dxa"/>
                  <w:vAlign w:val="center"/>
                </w:tcPr>
                <w:p w14:paraId="376CF426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Hauteur de chute nette (m)</w:t>
                  </w:r>
                </w:p>
              </w:tc>
              <w:tc>
                <w:tcPr>
                  <w:tcW w:w="3279" w:type="dxa"/>
                </w:tcPr>
                <w:p w14:paraId="69DF1D5C" w14:textId="77777777" w:rsidR="001606D5" w:rsidRPr="00E3424C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sz w:val="36"/>
                      <w:szCs w:val="36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153</w:t>
                  </w:r>
                </w:p>
              </w:tc>
            </w:tr>
            <w:tr w:rsidR="001606D5" w:rsidRPr="00E3424C" w14:paraId="4988515F" w14:textId="77777777" w:rsidTr="001224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9"/>
              </w:trPr>
              <w:tc>
                <w:tcPr>
                  <w:tcW w:w="3577" w:type="dxa"/>
                  <w:vAlign w:val="center"/>
                </w:tcPr>
                <w:p w14:paraId="663BD91A" w14:textId="77777777" w:rsidR="001606D5" w:rsidRPr="00031E71" w:rsidRDefault="001606D5" w:rsidP="001606D5">
                  <w:pPr>
                    <w:jc w:val="both"/>
                    <w:rPr>
                      <w:rFonts w:ascii="Century Gothic" w:hAnsi="Century Gothic" w:cs="Times New Roman"/>
                      <w:bCs/>
                      <w:lang w:eastAsia="fr-FR"/>
                    </w:rPr>
                  </w:pPr>
                  <w:r w:rsidRPr="00031E71">
                    <w:rPr>
                      <w:rFonts w:ascii="Century Gothic" w:hAnsi="Century Gothic" w:cs="Times New Roman"/>
                      <w:bCs/>
                      <w:lang w:eastAsia="fr-FR"/>
                    </w:rPr>
                    <w:t xml:space="preserve">Capacité installée, centrale principale (MW)  </w:t>
                  </w:r>
                </w:p>
              </w:tc>
              <w:tc>
                <w:tcPr>
                  <w:tcW w:w="3279" w:type="dxa"/>
                </w:tcPr>
                <w:p w14:paraId="2104A05A" w14:textId="77777777" w:rsidR="001606D5" w:rsidRPr="00031E71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bCs/>
                      <w:sz w:val="36"/>
                      <w:szCs w:val="36"/>
                      <w:lang w:val="en-GB" w:eastAsia="fr-FR"/>
                    </w:rPr>
                  </w:pPr>
                  <w:r w:rsidRPr="00031E71">
                    <w:rPr>
                      <w:rFonts w:ascii="Century Gothic" w:hAnsi="Century Gothic" w:cs="Times New Roman"/>
                      <w:bCs/>
                      <w:lang w:val="en-GB"/>
                    </w:rPr>
                    <w:t>203</w:t>
                  </w:r>
                </w:p>
              </w:tc>
            </w:tr>
            <w:tr w:rsidR="001606D5" w:rsidRPr="00E3424C" w14:paraId="1D822FB5" w14:textId="77777777" w:rsidTr="00122403">
              <w:trPr>
                <w:trHeight w:val="339"/>
              </w:trPr>
              <w:tc>
                <w:tcPr>
                  <w:tcW w:w="3577" w:type="dxa"/>
                  <w:vAlign w:val="center"/>
                </w:tcPr>
                <w:p w14:paraId="0DA67797" w14:textId="77777777" w:rsidR="001606D5" w:rsidRPr="00031E71" w:rsidRDefault="001606D5" w:rsidP="001606D5">
                  <w:pPr>
                    <w:jc w:val="both"/>
                    <w:rPr>
                      <w:rFonts w:ascii="Century Gothic" w:hAnsi="Century Gothic" w:cs="Times New Roman"/>
                      <w:bCs/>
                      <w:lang w:eastAsia="fr-FR"/>
                    </w:rPr>
                  </w:pPr>
                  <w:r w:rsidRPr="00031E71">
                    <w:rPr>
                      <w:rFonts w:ascii="Century Gothic" w:hAnsi="Century Gothic" w:cs="Times New Roman"/>
                      <w:bCs/>
                      <w:lang w:eastAsia="fr-FR"/>
                    </w:rPr>
                    <w:t xml:space="preserve">Capacité installée, Mini centrale (MW)  </w:t>
                  </w:r>
                </w:p>
              </w:tc>
              <w:tc>
                <w:tcPr>
                  <w:tcW w:w="3279" w:type="dxa"/>
                </w:tcPr>
                <w:p w14:paraId="464699AC" w14:textId="77777777" w:rsidR="001606D5" w:rsidRPr="00031E71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bCs/>
                      <w:sz w:val="36"/>
                      <w:szCs w:val="36"/>
                      <w:lang w:val="en-GB" w:eastAsia="fr-FR"/>
                    </w:rPr>
                  </w:pPr>
                  <w:r w:rsidRPr="00031E71">
                    <w:rPr>
                      <w:rFonts w:ascii="Century Gothic" w:hAnsi="Century Gothic" w:cs="Times New Roman"/>
                      <w:bCs/>
                      <w:lang w:val="en-GB"/>
                    </w:rPr>
                    <w:t>2.9</w:t>
                  </w:r>
                </w:p>
              </w:tc>
            </w:tr>
            <w:tr w:rsidR="001606D5" w:rsidRPr="00E3424C" w14:paraId="036E9F05" w14:textId="77777777" w:rsidTr="001224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9"/>
              </w:trPr>
              <w:tc>
                <w:tcPr>
                  <w:tcW w:w="3577" w:type="dxa"/>
                  <w:vAlign w:val="center"/>
                </w:tcPr>
                <w:p w14:paraId="266CEC87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Énergie produite, usine principale (</w:t>
                  </w:r>
                  <w:proofErr w:type="spellStart"/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GWh</w:t>
                  </w:r>
                  <w:proofErr w:type="spellEnd"/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/an)</w:t>
                  </w:r>
                </w:p>
              </w:tc>
              <w:tc>
                <w:tcPr>
                  <w:tcW w:w="3279" w:type="dxa"/>
                </w:tcPr>
                <w:p w14:paraId="3BBAAC3E" w14:textId="77777777" w:rsidR="001606D5" w:rsidRPr="00E3424C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sz w:val="36"/>
                      <w:szCs w:val="36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11</w:t>
                  </w:r>
                  <w:r>
                    <w:rPr>
                      <w:rFonts w:ascii="Century Gothic" w:hAnsi="Century Gothic" w:cs="Times New Roman"/>
                      <w:lang w:val="en-GB"/>
                    </w:rPr>
                    <w:t>87</w:t>
                  </w:r>
                </w:p>
              </w:tc>
            </w:tr>
            <w:tr w:rsidR="001606D5" w:rsidRPr="00E3424C" w14:paraId="21E861C5" w14:textId="77777777" w:rsidTr="00122403">
              <w:trPr>
                <w:trHeight w:val="339"/>
              </w:trPr>
              <w:tc>
                <w:tcPr>
                  <w:tcW w:w="3577" w:type="dxa"/>
                  <w:vAlign w:val="center"/>
                </w:tcPr>
                <w:p w14:paraId="45D723C9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eastAsia="fr-FR"/>
                    </w:rPr>
                  </w:pPr>
                  <w:r>
                    <w:rPr>
                      <w:rFonts w:ascii="Century Gothic" w:hAnsi="Century Gothic" w:cs="Times New Roman"/>
                      <w:lang w:eastAsia="fr-FR"/>
                    </w:rPr>
                    <w:lastRenderedPageBreak/>
                    <w:t xml:space="preserve">Energie produite, Mini centrale </w:t>
                  </w:r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(</w:t>
                  </w:r>
                  <w:proofErr w:type="spellStart"/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GWh</w:t>
                  </w:r>
                  <w:proofErr w:type="spellEnd"/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/an)</w:t>
                  </w:r>
                </w:p>
              </w:tc>
              <w:tc>
                <w:tcPr>
                  <w:tcW w:w="3279" w:type="dxa"/>
                </w:tcPr>
                <w:p w14:paraId="6984ACDC" w14:textId="77777777" w:rsidR="001606D5" w:rsidRPr="00E3424C" w:rsidRDefault="001606D5" w:rsidP="001606D5">
                  <w:pPr>
                    <w:jc w:val="center"/>
                    <w:rPr>
                      <w:rFonts w:ascii="Century Gothic" w:hAnsi="Century Gothic" w:cs="Times New Roman"/>
                      <w:lang w:val="en-GB"/>
                    </w:rPr>
                  </w:pPr>
                  <w:r w:rsidRPr="006D1BEF">
                    <w:rPr>
                      <w:rFonts w:ascii="Century Gothic" w:hAnsi="Century Gothic" w:cs="Times New Roman"/>
                    </w:rPr>
                    <w:t xml:space="preserve">  </w:t>
                  </w:r>
                  <w:r>
                    <w:rPr>
                      <w:rFonts w:ascii="Century Gothic" w:hAnsi="Century Gothic" w:cs="Times New Roman"/>
                      <w:lang w:val="en-GB"/>
                    </w:rPr>
                    <w:t>23,5</w:t>
                  </w:r>
                </w:p>
              </w:tc>
            </w:tr>
            <w:tr w:rsidR="001606D5" w:rsidRPr="00E3424C" w14:paraId="28C7BE8D" w14:textId="77777777" w:rsidTr="0012240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9"/>
              </w:trPr>
              <w:tc>
                <w:tcPr>
                  <w:tcW w:w="3577" w:type="dxa"/>
                  <w:vAlign w:val="center"/>
                </w:tcPr>
                <w:p w14:paraId="6AFB80FB" w14:textId="77777777" w:rsidR="001606D5" w:rsidRPr="00E3424C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eastAsia="fr-FR"/>
                    </w:rPr>
                  </w:pPr>
                  <w:r>
                    <w:rPr>
                      <w:rFonts w:ascii="Century Gothic" w:hAnsi="Century Gothic" w:cs="Times New Roman"/>
                      <w:lang w:eastAsia="fr-FR"/>
                    </w:rPr>
                    <w:t xml:space="preserve">Production annuelle totale </w:t>
                  </w:r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(</w:t>
                  </w:r>
                  <w:proofErr w:type="spellStart"/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GWh</w:t>
                  </w:r>
                  <w:proofErr w:type="spellEnd"/>
                  <w:r w:rsidRPr="00E3424C">
                    <w:rPr>
                      <w:rFonts w:ascii="Century Gothic" w:hAnsi="Century Gothic" w:cs="Times New Roman"/>
                      <w:lang w:eastAsia="fr-FR"/>
                    </w:rPr>
                    <w:t>/an)</w:t>
                  </w:r>
                </w:p>
              </w:tc>
              <w:tc>
                <w:tcPr>
                  <w:tcW w:w="3279" w:type="dxa"/>
                </w:tcPr>
                <w:p w14:paraId="4D9002C9" w14:textId="77777777" w:rsidR="001606D5" w:rsidRPr="00E3424C" w:rsidRDefault="001606D5" w:rsidP="001606D5">
                  <w:pPr>
                    <w:jc w:val="center"/>
                    <w:rPr>
                      <w:rFonts w:ascii="Century Gothic" w:eastAsia="Times New Roman" w:hAnsi="Century Gothic" w:cs="Times New Roman"/>
                      <w:sz w:val="36"/>
                      <w:szCs w:val="36"/>
                      <w:lang w:val="en-GB" w:eastAsia="fr-FR"/>
                    </w:rPr>
                  </w:pPr>
                  <w:r w:rsidRPr="00E3424C">
                    <w:rPr>
                      <w:rFonts w:ascii="Century Gothic" w:hAnsi="Century Gothic" w:cs="Times New Roman"/>
                      <w:lang w:val="en-GB"/>
                    </w:rPr>
                    <w:t>1</w:t>
                  </w:r>
                  <w:r>
                    <w:rPr>
                      <w:rFonts w:ascii="Century Gothic" w:hAnsi="Century Gothic" w:cs="Times New Roman"/>
                      <w:lang w:val="en-GB"/>
                    </w:rPr>
                    <w:t>210,5</w:t>
                  </w:r>
                </w:p>
              </w:tc>
            </w:tr>
            <w:tr w:rsidR="001606D5" w:rsidRPr="00E3424C" w14:paraId="63A47987" w14:textId="77777777" w:rsidTr="00122403">
              <w:trPr>
                <w:trHeight w:val="339"/>
              </w:trPr>
              <w:tc>
                <w:tcPr>
                  <w:tcW w:w="3577" w:type="dxa"/>
                  <w:vAlign w:val="center"/>
                </w:tcPr>
                <w:p w14:paraId="11E5DF6C" w14:textId="77777777" w:rsidR="001606D5" w:rsidRDefault="001606D5" w:rsidP="001606D5">
                  <w:pPr>
                    <w:jc w:val="both"/>
                    <w:rPr>
                      <w:rFonts w:ascii="Century Gothic" w:hAnsi="Century Gothic" w:cs="Times New Roman"/>
                      <w:lang w:eastAsia="fr-FR"/>
                    </w:rPr>
                  </w:pPr>
                  <w:r>
                    <w:rPr>
                      <w:rFonts w:ascii="Century Gothic" w:hAnsi="Century Gothic" w:cs="Times New Roman"/>
                      <w:lang w:eastAsia="fr-FR"/>
                    </w:rPr>
                    <w:t>Coût d’investissement EPC (MUSD)</w:t>
                  </w:r>
                </w:p>
              </w:tc>
              <w:tc>
                <w:tcPr>
                  <w:tcW w:w="3279" w:type="dxa"/>
                </w:tcPr>
                <w:p w14:paraId="3AB8EE8D" w14:textId="77777777" w:rsidR="001606D5" w:rsidRPr="00E3424C" w:rsidRDefault="001606D5" w:rsidP="001606D5">
                  <w:pPr>
                    <w:jc w:val="center"/>
                    <w:rPr>
                      <w:rFonts w:ascii="Century Gothic" w:hAnsi="Century Gothic" w:cs="Times New Roman"/>
                      <w:lang w:val="en-GB"/>
                    </w:rPr>
                  </w:pPr>
                  <w:r>
                    <w:rPr>
                      <w:rFonts w:ascii="Century Gothic" w:hAnsi="Century Gothic" w:cs="Times New Roman"/>
                      <w:lang w:val="en-GB"/>
                    </w:rPr>
                    <w:t>538</w:t>
                  </w:r>
                </w:p>
              </w:tc>
            </w:tr>
          </w:tbl>
          <w:p w14:paraId="0C162651" w14:textId="6910E648" w:rsidR="00293E7A" w:rsidRDefault="00293E7A" w:rsidP="00AA5822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93E7A" w:rsidRPr="00162B6E" w14:paraId="391274B8" w14:textId="77777777" w:rsidTr="00122403">
        <w:trPr>
          <w:trHeight w:val="588"/>
        </w:trPr>
        <w:tc>
          <w:tcPr>
            <w:tcW w:w="567" w:type="dxa"/>
          </w:tcPr>
          <w:p w14:paraId="64B100F0" w14:textId="4075BD3F" w:rsidR="00293E7A" w:rsidRPr="00162B6E" w:rsidRDefault="00293E7A" w:rsidP="00293E7A">
            <w:pPr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55" w:type="dxa"/>
          </w:tcPr>
          <w:p w14:paraId="757DE2B5" w14:textId="77777777" w:rsidR="00293E7A" w:rsidRPr="00162B6E" w:rsidRDefault="00293E7A" w:rsidP="00293E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Coût estimatif du projet</w:t>
            </w:r>
          </w:p>
        </w:tc>
        <w:tc>
          <w:tcPr>
            <w:tcW w:w="7371" w:type="dxa"/>
          </w:tcPr>
          <w:p w14:paraId="796F2CB1" w14:textId="4194DC7E" w:rsidR="00293E7A" w:rsidRPr="00162B6E" w:rsidRDefault="00293E7A" w:rsidP="00297701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757,</w:t>
            </w:r>
            <w:r w:rsidR="00297701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Millions de Dollars américains</w:t>
            </w:r>
            <w:r w:rsidR="00861869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426E90" w:rsidRPr="00162B6E" w14:paraId="29975738" w14:textId="77777777" w:rsidTr="00122403">
        <w:trPr>
          <w:trHeight w:val="588"/>
        </w:trPr>
        <w:tc>
          <w:tcPr>
            <w:tcW w:w="567" w:type="dxa"/>
          </w:tcPr>
          <w:p w14:paraId="0F99498B" w14:textId="64025DC6" w:rsidR="00426E90" w:rsidRPr="00162B6E" w:rsidRDefault="00426E90" w:rsidP="00293E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2155" w:type="dxa"/>
          </w:tcPr>
          <w:p w14:paraId="06A7063B" w14:textId="04404B37" w:rsidR="00426E90" w:rsidRPr="00162B6E" w:rsidRDefault="00426E90" w:rsidP="00293E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Tarif</w:t>
            </w:r>
            <w:r w:rsidR="00861869">
              <w:rPr>
                <w:rFonts w:ascii="Century Gothic" w:hAnsi="Century Gothic"/>
                <w:b/>
                <w:sz w:val="24"/>
                <w:szCs w:val="24"/>
              </w:rPr>
              <w:t xml:space="preserve"> estimé</w:t>
            </w:r>
            <w:r w:rsidR="001606D5">
              <w:rPr>
                <w:rFonts w:ascii="Century Gothic" w:hAnsi="Century Gothic"/>
                <w:b/>
                <w:sz w:val="24"/>
                <w:szCs w:val="24"/>
              </w:rPr>
              <w:t xml:space="preserve"> à date</w:t>
            </w:r>
          </w:p>
        </w:tc>
        <w:tc>
          <w:tcPr>
            <w:tcW w:w="7371" w:type="dxa"/>
          </w:tcPr>
          <w:p w14:paraId="50A6C9C4" w14:textId="08B8A403" w:rsidR="00426E90" w:rsidRDefault="00426E90" w:rsidP="00293E7A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7,17 cents USD/kWh</w:t>
            </w:r>
            <w:r w:rsidR="00861869">
              <w:rPr>
                <w:rFonts w:ascii="Century Gothic" w:hAnsi="Century Gothic"/>
                <w:sz w:val="24"/>
                <w:szCs w:val="24"/>
              </w:rPr>
              <w:t>. Ce tarif est susceptible de changement compte tenu des conditions financières et du coût réel de la construction.</w:t>
            </w:r>
          </w:p>
        </w:tc>
      </w:tr>
      <w:tr w:rsidR="00293E7A" w:rsidRPr="00162B6E" w14:paraId="3357777F" w14:textId="77777777" w:rsidTr="00122403">
        <w:tc>
          <w:tcPr>
            <w:tcW w:w="567" w:type="dxa"/>
            <w:tcBorders>
              <w:bottom w:val="single" w:sz="4" w:space="0" w:color="auto"/>
            </w:tcBorders>
          </w:tcPr>
          <w:p w14:paraId="14147869" w14:textId="4ECA6623" w:rsidR="00293E7A" w:rsidRPr="00162B6E" w:rsidRDefault="00293E7A" w:rsidP="00293E7A">
            <w:pPr>
              <w:rPr>
                <w:rFonts w:ascii="Century Gothic" w:hAnsi="Century Gothic"/>
                <w:sz w:val="24"/>
                <w:szCs w:val="24"/>
              </w:rPr>
            </w:pPr>
            <w:r w:rsidRPr="00162B6E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05C0525" w14:textId="77777777" w:rsidR="00293E7A" w:rsidRPr="00162B6E" w:rsidRDefault="00293E7A" w:rsidP="00293E7A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Financement du projet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34AA50A" w14:textId="62E8A254" w:rsidR="00AA5822" w:rsidRPr="00E6306E" w:rsidRDefault="00CA623D" w:rsidP="008B77DB">
            <w:pPr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 financement du Projet qui viendra de la partie publique et celui qui viendra de la partie privée ser</w:t>
            </w:r>
            <w:r w:rsidR="00D051BA">
              <w:rPr>
                <w:rFonts w:ascii="Century Gothic" w:hAnsi="Century Gothic"/>
                <w:sz w:val="24"/>
                <w:szCs w:val="24"/>
              </w:rPr>
              <w:t>a mobilisé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respectivement auprès du guichet public des Bailleurs de fonds concessionnels (Agence Française de Développement «AFD», Banque Africaine de Développement «BAD», Banque Européenne d’Investissement «BEI», Banque Allemande de Développement «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KfW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», Banque Mondiale « BM ») et du guichet privé des Bailleurs de fonds non concessionnels (BAD, BEI, British International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Investment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« BII »).</w:t>
            </w:r>
          </w:p>
        </w:tc>
      </w:tr>
      <w:tr w:rsidR="00710147" w:rsidRPr="00162B6E" w14:paraId="66161BF3" w14:textId="77777777" w:rsidTr="00122403">
        <w:trPr>
          <w:trHeight w:val="699"/>
        </w:trPr>
        <w:tc>
          <w:tcPr>
            <w:tcW w:w="567" w:type="dxa"/>
            <w:vMerge w:val="restart"/>
          </w:tcPr>
          <w:p w14:paraId="638EE5E9" w14:textId="1A3521D3" w:rsidR="00710147" w:rsidRDefault="00710147" w:rsidP="00293E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9526" w:type="dxa"/>
            <w:gridSpan w:val="2"/>
            <w:tcBorders>
              <w:bottom w:val="single" w:sz="4" w:space="0" w:color="auto"/>
            </w:tcBorders>
          </w:tcPr>
          <w:p w14:paraId="18614162" w14:textId="61059FBC" w:rsidR="00710147" w:rsidRPr="00852386" w:rsidRDefault="00710147" w:rsidP="00852386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>Etapes déjà franchies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 </w:t>
            </w:r>
          </w:p>
        </w:tc>
      </w:tr>
      <w:tr w:rsidR="00710147" w:rsidRPr="00162B6E" w14:paraId="3EFC4CC3" w14:textId="77777777" w:rsidTr="00122403">
        <w:trPr>
          <w:trHeight w:val="699"/>
        </w:trPr>
        <w:tc>
          <w:tcPr>
            <w:tcW w:w="567" w:type="dxa"/>
            <w:vMerge/>
          </w:tcPr>
          <w:p w14:paraId="15FC8BF6" w14:textId="77777777" w:rsidR="00710147" w:rsidRDefault="00710147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492097A" w14:textId="5F9D3150" w:rsidR="00710147" w:rsidRPr="00852386" w:rsidRDefault="00710147" w:rsidP="00852386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Etudes du Projet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1824E22" w14:textId="2B611865" w:rsidR="00710147" w:rsidRPr="00852386" w:rsidRDefault="006B247F" w:rsidP="008B77DB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Les E</w:t>
            </w:r>
            <w:r w:rsidR="00710147">
              <w:rPr>
                <w:rFonts w:ascii="Century Gothic" w:hAnsi="Century Gothic"/>
                <w:sz w:val="24"/>
                <w:szCs w:val="24"/>
              </w:rPr>
              <w:t xml:space="preserve">tudes de faisabilité technique, économique et financière </w:t>
            </w:r>
            <w:r>
              <w:rPr>
                <w:rFonts w:ascii="Century Gothic" w:hAnsi="Century Gothic"/>
                <w:sz w:val="24"/>
                <w:szCs w:val="24"/>
              </w:rPr>
              <w:t>ont été finalisées en Décembre 2022 et le Rapport final des E</w:t>
            </w:r>
            <w:r w:rsidR="00710147">
              <w:rPr>
                <w:rFonts w:ascii="Century Gothic" w:hAnsi="Century Gothic"/>
                <w:sz w:val="24"/>
                <w:szCs w:val="24"/>
              </w:rPr>
              <w:t>tudes environnementales et sociales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77DB">
              <w:rPr>
                <w:rFonts w:ascii="Century Gothic" w:hAnsi="Century Gothic"/>
                <w:sz w:val="24"/>
                <w:szCs w:val="24"/>
              </w:rPr>
              <w:t xml:space="preserve">a été soumis </w:t>
            </w:r>
            <w:r>
              <w:rPr>
                <w:rFonts w:ascii="Century Gothic" w:hAnsi="Century Gothic"/>
                <w:sz w:val="24"/>
                <w:szCs w:val="24"/>
              </w:rPr>
              <w:t>au mois de Juillet 2024</w:t>
            </w:r>
            <w:r w:rsidR="00710147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710147" w:rsidRPr="00162B6E" w14:paraId="5E78CA03" w14:textId="77777777" w:rsidTr="00122403">
        <w:trPr>
          <w:trHeight w:val="699"/>
        </w:trPr>
        <w:tc>
          <w:tcPr>
            <w:tcW w:w="567" w:type="dxa"/>
            <w:vMerge/>
          </w:tcPr>
          <w:p w14:paraId="608E403C" w14:textId="77777777" w:rsidR="00710147" w:rsidRDefault="00710147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4C433A7A" w14:textId="6C88FB3A" w:rsidR="00710147" w:rsidRPr="00162B6E" w:rsidRDefault="00710147" w:rsidP="00710147">
            <w:pPr>
              <w:pStyle w:val="Paragraphedeliste"/>
              <w:numPr>
                <w:ilvl w:val="0"/>
                <w:numId w:val="25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52386">
              <w:rPr>
                <w:rFonts w:ascii="Century Gothic" w:hAnsi="Century Gothic"/>
                <w:b/>
                <w:sz w:val="24"/>
                <w:szCs w:val="24"/>
              </w:rPr>
              <w:t>Passation de Marchés pour le recrutement de l’entreprise de construction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A273DC0" w14:textId="5579B64C" w:rsidR="00B77364" w:rsidRPr="00852386" w:rsidRDefault="006B247F" w:rsidP="006B247F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Demande de Propositions aux entreprises présélectionnées a été lancée le 17 juin 2024. </w:t>
            </w:r>
          </w:p>
        </w:tc>
      </w:tr>
      <w:tr w:rsidR="00710147" w:rsidRPr="00162B6E" w14:paraId="57E7BFB0" w14:textId="77777777" w:rsidTr="00122403">
        <w:trPr>
          <w:trHeight w:val="699"/>
        </w:trPr>
        <w:tc>
          <w:tcPr>
            <w:tcW w:w="567" w:type="dxa"/>
            <w:vMerge/>
          </w:tcPr>
          <w:p w14:paraId="326350FC" w14:textId="77777777" w:rsidR="00710147" w:rsidRDefault="00710147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27269975" w14:textId="08664C9C" w:rsidR="00710147" w:rsidRPr="00852386" w:rsidRDefault="00710147" w:rsidP="00710147">
            <w:pPr>
              <w:pStyle w:val="Paragraphedeliste"/>
              <w:numPr>
                <w:ilvl w:val="0"/>
                <w:numId w:val="25"/>
              </w:numPr>
              <w:rPr>
                <w:rFonts w:ascii="Century Gothic" w:hAnsi="Century Gothic"/>
                <w:b/>
                <w:sz w:val="24"/>
                <w:szCs w:val="24"/>
              </w:rPr>
            </w:pPr>
            <w:r w:rsidRPr="00852386">
              <w:rPr>
                <w:rFonts w:ascii="Century Gothic" w:hAnsi="Century Gothic"/>
                <w:b/>
                <w:sz w:val="24"/>
                <w:szCs w:val="24"/>
              </w:rPr>
              <w:t>Recrutement des Membres des Panels</w:t>
            </w:r>
            <w:r w:rsidR="00CC010C">
              <w:rPr>
                <w:rFonts w:ascii="Century Gothic" w:hAnsi="Century Gothic"/>
                <w:b/>
                <w:sz w:val="24"/>
                <w:szCs w:val="24"/>
              </w:rPr>
              <w:t xml:space="preserve"> d’Experts indépendants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ED9E30A" w14:textId="77777777" w:rsidR="00710147" w:rsidRDefault="00710147" w:rsidP="00852386">
            <w:pPr>
              <w:pStyle w:val="Paragraphedeliste"/>
              <w:ind w:left="142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10147" w:rsidRPr="00162B6E" w14:paraId="5DF4CF0F" w14:textId="77777777" w:rsidTr="00122403">
        <w:trPr>
          <w:trHeight w:val="699"/>
        </w:trPr>
        <w:tc>
          <w:tcPr>
            <w:tcW w:w="567" w:type="dxa"/>
            <w:vMerge/>
          </w:tcPr>
          <w:p w14:paraId="5AEAB812" w14:textId="77777777" w:rsidR="00710147" w:rsidRDefault="00710147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9A4625A" w14:textId="6C4DE0D6" w:rsidR="00710147" w:rsidRPr="00162B6E" w:rsidRDefault="00710147" w:rsidP="006B247F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c.1. </w:t>
            </w:r>
            <w:r w:rsidRPr="001606D5">
              <w:rPr>
                <w:rFonts w:ascii="Century Gothic" w:hAnsi="Century Gothic"/>
                <w:b/>
                <w:sz w:val="24"/>
                <w:szCs w:val="24"/>
              </w:rPr>
              <w:t>Panel pour la</w:t>
            </w:r>
            <w:r w:rsidR="006B247F">
              <w:rPr>
                <w:rFonts w:ascii="Century Gothic" w:hAnsi="Century Gothic"/>
                <w:b/>
                <w:sz w:val="24"/>
                <w:szCs w:val="24"/>
              </w:rPr>
              <w:t xml:space="preserve"> sécurité du barrage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  </w:t>
            </w:r>
            <w:r w:rsidRPr="001606D5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E19E80B" w14:textId="5C4A69B0" w:rsidR="00B42829" w:rsidRDefault="008B77DB" w:rsidP="00B42829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Approbation en cours par la BAD des contrats convenus entre EGL et les Experts retenus aux postes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d’Expert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Hydro-Electromécanicien, d’Expert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en Génie Civil et </w:t>
            </w:r>
            <w:r>
              <w:rPr>
                <w:rFonts w:ascii="Century Gothic" w:hAnsi="Century Gothic"/>
                <w:sz w:val="24"/>
                <w:szCs w:val="24"/>
              </w:rPr>
              <w:t>d’Expert H</w:t>
            </w:r>
            <w:r w:rsidR="00B42829">
              <w:rPr>
                <w:rFonts w:ascii="Century Gothic" w:hAnsi="Century Gothic"/>
                <w:sz w:val="24"/>
                <w:szCs w:val="24"/>
              </w:rPr>
              <w:t>ydrologue</w:t>
            </w:r>
            <w:r>
              <w:rPr>
                <w:rFonts w:ascii="Century Gothic" w:hAnsi="Century Gothic"/>
                <w:sz w:val="24"/>
                <w:szCs w:val="24"/>
              </w:rPr>
              <w:t>/Hydraulicien</w:t>
            </w:r>
            <w:r w:rsidR="003E0B05">
              <w:rPr>
                <w:rFonts w:ascii="Century Gothic" w:hAnsi="Century Gothic"/>
                <w:sz w:val="24"/>
                <w:szCs w:val="24"/>
              </w:rPr>
              <w:t>;</w:t>
            </w:r>
          </w:p>
          <w:p w14:paraId="325E1267" w14:textId="21844040" w:rsidR="00692CD4" w:rsidRPr="008B77DB" w:rsidRDefault="00F0124A" w:rsidP="008B77DB">
            <w:pPr>
              <w:pStyle w:val="Paragraphedeliste"/>
              <w:numPr>
                <w:ilvl w:val="0"/>
                <w:numId w:val="26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Approbation en cours</w:t>
            </w:r>
            <w:r w:rsidR="006B247F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par la BAD</w:t>
            </w:r>
            <w:r w:rsidR="006B247F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3E0B05">
              <w:rPr>
                <w:rFonts w:ascii="Century Gothic" w:hAnsi="Century Gothic"/>
                <w:sz w:val="24"/>
                <w:szCs w:val="24"/>
              </w:rPr>
              <w:t xml:space="preserve"> du rapport d’évaluation et de la Liste restreinte aux postes </w:t>
            </w:r>
            <w:r w:rsidR="008B77DB">
              <w:rPr>
                <w:rFonts w:ascii="Century Gothic" w:hAnsi="Century Gothic"/>
                <w:sz w:val="24"/>
                <w:szCs w:val="24"/>
              </w:rPr>
              <w:t>d’Expert Géotechnicien et d’Expert Séismologue</w:t>
            </w:r>
            <w:r w:rsidR="008B77DB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710147" w:rsidRPr="00162B6E" w14:paraId="3A0EA71E" w14:textId="77777777" w:rsidTr="00122403">
        <w:trPr>
          <w:trHeight w:val="69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721A69BA" w14:textId="08C86727" w:rsidR="00710147" w:rsidRDefault="00710147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A56F93B" w14:textId="3ABC87DD" w:rsidR="00710147" w:rsidRPr="006B247F" w:rsidRDefault="00710147" w:rsidP="006B247F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6B247F">
              <w:rPr>
                <w:rFonts w:ascii="Century Gothic" w:hAnsi="Century Gothic"/>
                <w:b/>
                <w:sz w:val="24"/>
                <w:szCs w:val="24"/>
              </w:rPr>
              <w:t xml:space="preserve">c.2. Panel pour la </w:t>
            </w:r>
            <w:r w:rsidR="006B247F">
              <w:rPr>
                <w:rFonts w:ascii="Century Gothic" w:hAnsi="Century Gothic"/>
                <w:b/>
                <w:sz w:val="24"/>
                <w:szCs w:val="24"/>
              </w:rPr>
              <w:t xml:space="preserve">Conformité </w:t>
            </w:r>
            <w:r w:rsidRPr="006B247F">
              <w:rPr>
                <w:rFonts w:ascii="Century Gothic" w:hAnsi="Century Gothic"/>
                <w:b/>
                <w:sz w:val="24"/>
                <w:szCs w:val="24"/>
              </w:rPr>
              <w:t xml:space="preserve"> environnementale et sociale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5A44597" w14:textId="1FC8DF73" w:rsidR="00710147" w:rsidRPr="00710147" w:rsidRDefault="008B77DB" w:rsidP="008B77DB">
            <w:pPr>
              <w:pStyle w:val="Paragraphedeliste"/>
              <w:ind w:left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Evaluation en cours</w:t>
            </w:r>
            <w:r w:rsidR="00F0124A">
              <w:rPr>
                <w:rFonts w:ascii="Century Gothic" w:hAnsi="Century Gothic"/>
                <w:sz w:val="24"/>
                <w:szCs w:val="24"/>
              </w:rPr>
              <w:t xml:space="preserve">. </w:t>
            </w:r>
          </w:p>
        </w:tc>
      </w:tr>
      <w:tr w:rsidR="00D31403" w:rsidRPr="00162B6E" w14:paraId="170B2680" w14:textId="77777777" w:rsidTr="00122403">
        <w:trPr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0DE3A" w14:textId="58F19819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162B6E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9BA485C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76E3D6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0F7098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15F479E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4B4E6A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0C266E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2B0F58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F88474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FE15AD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928F41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8E5866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8E22C35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C69723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7DC59B" w14:textId="01D9FCAF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ED" w14:textId="740661D3" w:rsidR="00D31403" w:rsidRPr="00D31403" w:rsidRDefault="00D31403" w:rsidP="00F0124A">
            <w:p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31403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Activités à réaliser avant la date d</w:t>
            </w:r>
            <w:r w:rsidR="00F0124A">
              <w:rPr>
                <w:rFonts w:ascii="Century Gothic" w:hAnsi="Century Gothic"/>
                <w:b/>
                <w:sz w:val="24"/>
                <w:szCs w:val="24"/>
              </w:rPr>
              <w:t>e clôture financière fixée au 30</w:t>
            </w:r>
            <w:r w:rsidRPr="00D31403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F0124A">
              <w:rPr>
                <w:rFonts w:ascii="Century Gothic" w:hAnsi="Century Gothic"/>
                <w:b/>
                <w:sz w:val="24"/>
                <w:szCs w:val="24"/>
              </w:rPr>
              <w:t xml:space="preserve">Septembre </w:t>
            </w:r>
            <w:r w:rsidRPr="00D31403">
              <w:rPr>
                <w:rFonts w:ascii="Century Gothic" w:hAnsi="Century Gothic"/>
                <w:b/>
                <w:sz w:val="24"/>
                <w:szCs w:val="24"/>
              </w:rPr>
              <w:t>2025</w:t>
            </w:r>
          </w:p>
        </w:tc>
      </w:tr>
      <w:tr w:rsidR="00D31403" w:rsidRPr="00162B6E" w14:paraId="791E5AA5" w14:textId="77777777" w:rsidTr="00122403">
        <w:trPr>
          <w:trHeight w:val="8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E1975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6F23" w14:textId="77777777" w:rsidR="00D31403" w:rsidRDefault="00D31403" w:rsidP="0081402C">
            <w:pPr>
              <w:pStyle w:val="Paragraphedeliste"/>
              <w:numPr>
                <w:ilvl w:val="0"/>
                <w:numId w:val="23"/>
              </w:numPr>
              <w:ind w:left="346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Matérialisation des financements promis par les Bailleurs de fonds</w:t>
            </w:r>
          </w:p>
          <w:p w14:paraId="59138AC0" w14:textId="77777777" w:rsidR="00D31403" w:rsidRPr="0081402C" w:rsidRDefault="00D31403" w:rsidP="008140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ADE" w14:textId="54C6415D" w:rsidR="00C867F9" w:rsidRDefault="00C867F9" w:rsidP="00303DEF">
            <w:pPr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Signature des Avenants aux Accords de Projet ;</w:t>
            </w:r>
          </w:p>
          <w:p w14:paraId="1655C51B" w14:textId="77777777" w:rsidR="00D31403" w:rsidRDefault="00D31403" w:rsidP="00303DEF">
            <w:pPr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Poursuite des pourparlers avec les Bailleurs de Fonds du Secteur Public pour la matérialisation des financements requis ;</w:t>
            </w:r>
          </w:p>
          <w:p w14:paraId="73775ED1" w14:textId="12CCD89E" w:rsidR="00D31403" w:rsidRPr="00303DEF" w:rsidRDefault="00D31403" w:rsidP="00303DEF">
            <w:pPr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Recherche et matérialisation des financements pour les infrastructures associées</w:t>
            </w:r>
            <w:r w:rsidR="00A646FE">
              <w:rPr>
                <w:rFonts w:ascii="Century Gothic" w:hAnsi="Century Gothic"/>
                <w:sz w:val="24"/>
                <w:szCs w:val="24"/>
              </w:rPr>
              <w:t>,</w:t>
            </w:r>
            <w:r w:rsidRPr="00303DEF">
              <w:rPr>
                <w:rFonts w:ascii="Century Gothic" w:hAnsi="Century Gothic"/>
                <w:sz w:val="24"/>
                <w:szCs w:val="24"/>
              </w:rPr>
              <w:t xml:space="preserve"> en l’occurrence : </w:t>
            </w:r>
          </w:p>
          <w:p w14:paraId="457D791A" w14:textId="77777777" w:rsidR="00D31403" w:rsidRPr="00303DEF" w:rsidRDefault="00D31403" w:rsidP="00303DEF">
            <w:pPr>
              <w:numPr>
                <w:ilvl w:val="0"/>
                <w:numId w:val="11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Le Poste régional de Kamanyola : 10,5 Millions d’Euros accordés par la KFW,</w:t>
            </w:r>
          </w:p>
          <w:p w14:paraId="799BB9FA" w14:textId="77777777" w:rsidR="00D31403" w:rsidRDefault="00D31403" w:rsidP="00303DEF">
            <w:pPr>
              <w:numPr>
                <w:ilvl w:val="0"/>
                <w:numId w:val="11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La Ligne Kamanyola – Buhandahanda et extension du poste national de Buhandahanda/RDC : 29 Millions d’euros en cours de matérialisation avec la KFW. La RDC paiera une contrepartie pour l’acquisition des terrains estimée à 7,9 Millions d’euros ;</w:t>
            </w:r>
          </w:p>
          <w:p w14:paraId="663A9C5C" w14:textId="2DDC3BDC" w:rsidR="00D31403" w:rsidRPr="00303DEF" w:rsidRDefault="00D31403" w:rsidP="00303DEF">
            <w:pPr>
              <w:numPr>
                <w:ilvl w:val="0"/>
                <w:numId w:val="11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 xml:space="preserve">La Ligne Kamanyola – Karongi/Rwanda dont le financement n’est pas encore </w:t>
            </w:r>
            <w:proofErr w:type="gramStart"/>
            <w:r w:rsidRPr="00303DEF">
              <w:rPr>
                <w:rFonts w:ascii="Century Gothic" w:hAnsi="Century Gothic"/>
                <w:sz w:val="24"/>
                <w:szCs w:val="24"/>
              </w:rPr>
              <w:t>fixé</w:t>
            </w:r>
            <w:proofErr w:type="gramEnd"/>
            <w:r w:rsidRPr="00303DEF">
              <w:rPr>
                <w:rFonts w:ascii="Century Gothic" w:hAnsi="Century Gothic"/>
                <w:sz w:val="24"/>
                <w:szCs w:val="24"/>
              </w:rPr>
              <w:t xml:space="preserve">. Les pourparlers </w:t>
            </w:r>
            <w:r w:rsidRPr="00303DEF">
              <w:rPr>
                <w:rFonts w:ascii="Century Gothic" w:hAnsi="Century Gothic"/>
                <w:sz w:val="24"/>
                <w:szCs w:val="24"/>
              </w:rPr>
              <w:lastRenderedPageBreak/>
              <w:t>sont en cours entre le Gouvernement du Rwanda et la BEI ;</w:t>
            </w:r>
          </w:p>
          <w:p w14:paraId="5DBEBB25" w14:textId="78310B5A" w:rsidR="00D31403" w:rsidRDefault="00D31403" w:rsidP="003E0B05">
            <w:pPr>
              <w:numPr>
                <w:ilvl w:val="0"/>
                <w:numId w:val="11"/>
              </w:numPr>
              <w:contextualSpacing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La Ligne Kamanyola – Bujumbura a été financée dans le cadre du NELSAP</w:t>
            </w:r>
            <w:r w:rsidR="00710147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B77DB">
              <w:rPr>
                <w:rFonts w:ascii="Century Gothic" w:hAnsi="Century Gothic"/>
                <w:sz w:val="24"/>
                <w:szCs w:val="24"/>
              </w:rPr>
              <w:t xml:space="preserve">et </w:t>
            </w:r>
            <w:r w:rsidR="00710147">
              <w:rPr>
                <w:rFonts w:ascii="Century Gothic" w:hAnsi="Century Gothic"/>
                <w:sz w:val="24"/>
                <w:szCs w:val="24"/>
              </w:rPr>
              <w:t xml:space="preserve">est en </w:t>
            </w:r>
            <w:r w:rsidR="003E0B05">
              <w:rPr>
                <w:rFonts w:ascii="Century Gothic" w:hAnsi="Century Gothic"/>
                <w:sz w:val="24"/>
                <w:szCs w:val="24"/>
              </w:rPr>
              <w:t xml:space="preserve">cours de </w:t>
            </w:r>
            <w:r w:rsidR="00710147">
              <w:rPr>
                <w:rFonts w:ascii="Century Gothic" w:hAnsi="Century Gothic"/>
                <w:sz w:val="24"/>
                <w:szCs w:val="24"/>
              </w:rPr>
              <w:t>construction et sera bientôt achevée</w:t>
            </w:r>
            <w:r w:rsidRPr="00303DEF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D31403" w:rsidRPr="00162B6E" w14:paraId="0609FCB0" w14:textId="77777777" w:rsidTr="00122403">
        <w:trPr>
          <w:trHeight w:val="8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E01BC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62E9" w14:textId="4F310755" w:rsidR="00D31403" w:rsidRPr="0081402C" w:rsidRDefault="00D31403" w:rsidP="003E0B05">
            <w:pPr>
              <w:pStyle w:val="Paragraphedeliste"/>
              <w:numPr>
                <w:ilvl w:val="0"/>
                <w:numId w:val="23"/>
              </w:numPr>
              <w:ind w:left="346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1402C">
              <w:rPr>
                <w:rFonts w:ascii="Century Gothic" w:hAnsi="Century Gothic"/>
                <w:b/>
                <w:sz w:val="24"/>
                <w:szCs w:val="24"/>
              </w:rPr>
              <w:t>Poursuite du processus de recrutement de l’entreprise chargée de la  construction de la Centrale et de la ligne de transport Ruzizi III- Kamanyola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206E" w14:textId="77777777" w:rsidR="00D31403" w:rsidRPr="00303DEF" w:rsidRDefault="00D31403" w:rsidP="00303DEF">
            <w:pPr>
              <w:numPr>
                <w:ilvl w:val="0"/>
                <w:numId w:val="5"/>
              </w:numPr>
              <w:contextualSpacing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Evaluation des Propositions techniques et financières.</w:t>
            </w:r>
          </w:p>
          <w:p w14:paraId="323067C7" w14:textId="5B57B7BF" w:rsidR="00D31403" w:rsidRDefault="00D31403" w:rsidP="00303DEF">
            <w:pPr>
              <w:numPr>
                <w:ilvl w:val="0"/>
                <w:numId w:val="5"/>
              </w:numPr>
              <w:contextualSpacing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03DEF">
              <w:rPr>
                <w:rFonts w:ascii="Century Gothic" w:hAnsi="Century Gothic"/>
                <w:sz w:val="24"/>
                <w:szCs w:val="24"/>
              </w:rPr>
              <w:t>Négociations et signature du Contrat avec l’entreprise retenue</w:t>
            </w:r>
            <w:r w:rsidR="003E0B05">
              <w:rPr>
                <w:rFonts w:ascii="Century Gothic" w:hAnsi="Century Gothic"/>
                <w:sz w:val="24"/>
                <w:szCs w:val="24"/>
              </w:rPr>
              <w:t xml:space="preserve"> à l’issue du processus</w:t>
            </w:r>
            <w:r w:rsidRPr="00303DEF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D31403" w:rsidRPr="00162B6E" w14:paraId="077DB095" w14:textId="77777777" w:rsidTr="00122403">
        <w:trPr>
          <w:trHeight w:val="8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294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23EA8B33" w14:textId="032275FF" w:rsidR="00D31403" w:rsidRDefault="00D31403" w:rsidP="0081402C">
            <w:pPr>
              <w:pStyle w:val="Paragraphedeliste"/>
              <w:numPr>
                <w:ilvl w:val="0"/>
                <w:numId w:val="23"/>
              </w:numPr>
              <w:ind w:left="346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1402C">
              <w:rPr>
                <w:rFonts w:ascii="Century Gothic" w:hAnsi="Century Gothic"/>
                <w:b/>
                <w:sz w:val="24"/>
                <w:szCs w:val="24"/>
              </w:rPr>
              <w:t>Poursuite du processus de recrutement de deux Panels d’Experts indépendants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529" w14:textId="6BFFAB93" w:rsidR="00D31403" w:rsidRDefault="008B77DB" w:rsidP="00303DE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Finalisation de l’é</w:t>
            </w:r>
            <w:r w:rsidR="00D31403">
              <w:rPr>
                <w:rFonts w:ascii="Century Gothic" w:hAnsi="Century Gothic"/>
                <w:sz w:val="24"/>
                <w:szCs w:val="24"/>
              </w:rPr>
              <w:t xml:space="preserve">valuation et comparaison des CV des candidats aux postes   du Panel </w:t>
            </w:r>
            <w:r w:rsidR="00A16340">
              <w:rPr>
                <w:rFonts w:ascii="Century Gothic" w:hAnsi="Century Gothic"/>
                <w:sz w:val="24"/>
                <w:szCs w:val="24"/>
              </w:rPr>
              <w:t>d’Experts indépendants pour la C</w:t>
            </w:r>
            <w:r w:rsidR="00D31403">
              <w:rPr>
                <w:rFonts w:ascii="Century Gothic" w:hAnsi="Century Gothic"/>
                <w:sz w:val="24"/>
                <w:szCs w:val="24"/>
              </w:rPr>
              <w:t>onformité environnementale et sociale</w:t>
            </w:r>
            <w:r w:rsidR="006A0BA1">
              <w:rPr>
                <w:rFonts w:ascii="Century Gothic" w:hAnsi="Century Gothic"/>
                <w:sz w:val="24"/>
                <w:szCs w:val="24"/>
              </w:rPr>
              <w:t>;</w:t>
            </w:r>
          </w:p>
          <w:p w14:paraId="77EAD86C" w14:textId="2D1C5C93" w:rsidR="00D31403" w:rsidRDefault="00D31403" w:rsidP="000507D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Négociation et signature des contrats avec les candidats retenus.</w:t>
            </w:r>
            <w:bookmarkStart w:id="1" w:name="_GoBack"/>
            <w:bookmarkEnd w:id="1"/>
          </w:p>
        </w:tc>
      </w:tr>
      <w:tr w:rsidR="00D31403" w:rsidRPr="00162B6E" w14:paraId="1E3B045C" w14:textId="77777777" w:rsidTr="00122403">
        <w:trPr>
          <w:trHeight w:val="15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F5A7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</w:tcPr>
          <w:p w14:paraId="263C0A58" w14:textId="671EDD3E" w:rsidR="00D31403" w:rsidRDefault="00D31403" w:rsidP="003E0B05">
            <w:pPr>
              <w:pStyle w:val="Paragraphedeliste"/>
              <w:numPr>
                <w:ilvl w:val="0"/>
                <w:numId w:val="23"/>
              </w:numPr>
              <w:ind w:left="346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1402C">
              <w:rPr>
                <w:rFonts w:ascii="Century Gothic" w:hAnsi="Century Gothic"/>
                <w:b/>
                <w:sz w:val="24"/>
                <w:szCs w:val="24"/>
              </w:rPr>
              <w:t xml:space="preserve">Processus de recrutement de l’Ingénieur Indépendant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4C7" w14:textId="5A14B2DE" w:rsidR="00D31403" w:rsidRPr="00762DE1" w:rsidRDefault="00D31403" w:rsidP="00303DEF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762DE1">
              <w:rPr>
                <w:rFonts w:ascii="Century Gothic" w:hAnsi="Century Gothic"/>
                <w:sz w:val="24"/>
                <w:szCs w:val="24"/>
              </w:rPr>
              <w:t>Transmission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762DE1">
              <w:rPr>
                <w:rFonts w:ascii="Century Gothic" w:hAnsi="Century Gothic"/>
                <w:sz w:val="24"/>
                <w:szCs w:val="24"/>
              </w:rPr>
              <w:t xml:space="preserve"> aux entreprises présélectionnées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="003E0B05">
              <w:rPr>
                <w:rFonts w:ascii="Century Gothic" w:hAnsi="Century Gothic"/>
                <w:sz w:val="24"/>
                <w:szCs w:val="24"/>
              </w:rPr>
              <w:t xml:space="preserve"> de la Demande de Propositions ;</w:t>
            </w:r>
          </w:p>
          <w:p w14:paraId="3D886D8D" w14:textId="77777777" w:rsidR="00D31403" w:rsidRDefault="00D31403" w:rsidP="00303DE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Evaluation des propositions techniques et financières</w:t>
            </w:r>
          </w:p>
          <w:p w14:paraId="6865A36A" w14:textId="5BC1ACAF" w:rsidR="00D31403" w:rsidRDefault="00D31403" w:rsidP="00303DE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Négociation et signature du contrat avec le candidat retenu.</w:t>
            </w:r>
          </w:p>
        </w:tc>
      </w:tr>
      <w:tr w:rsidR="00D31403" w:rsidRPr="00162B6E" w14:paraId="569CC21E" w14:textId="77777777" w:rsidTr="00122403">
        <w:trPr>
          <w:trHeight w:val="84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2F1A5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084C0106" w14:textId="77777777" w:rsidR="00D31403" w:rsidRPr="0081402C" w:rsidRDefault="00D31403" w:rsidP="0081402C">
            <w:pPr>
              <w:pStyle w:val="Paragraphedeliste"/>
              <w:numPr>
                <w:ilvl w:val="0"/>
                <w:numId w:val="23"/>
              </w:numPr>
              <w:ind w:left="346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81402C">
              <w:rPr>
                <w:rFonts w:ascii="Century Gothic" w:hAnsi="Century Gothic"/>
                <w:b/>
                <w:sz w:val="24"/>
                <w:szCs w:val="24"/>
              </w:rPr>
              <w:t xml:space="preserve">Acquisition des terrains et des droits </w:t>
            </w:r>
            <w:r w:rsidRPr="0081402C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fonciers pour la Société de Projet REL </w:t>
            </w:r>
          </w:p>
          <w:p w14:paraId="2C9D37EF" w14:textId="77777777" w:rsidR="00D31403" w:rsidRDefault="00D31403" w:rsidP="00FA42A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84F592D" w14:textId="77777777" w:rsidR="00D24727" w:rsidRDefault="00D31403" w:rsidP="00D2472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Poursuite </w:t>
            </w:r>
            <w:r w:rsidR="00852386">
              <w:rPr>
                <w:rFonts w:ascii="Century Gothic" w:hAnsi="Century Gothic"/>
                <w:sz w:val="24"/>
                <w:szCs w:val="24"/>
              </w:rPr>
              <w:t xml:space="preserve">et finalisation </w:t>
            </w:r>
            <w:r>
              <w:rPr>
                <w:rFonts w:ascii="Century Gothic" w:hAnsi="Century Gothic"/>
                <w:sz w:val="24"/>
                <w:szCs w:val="24"/>
              </w:rPr>
              <w:t>des d</w:t>
            </w:r>
            <w:r w:rsidRPr="00BC338D">
              <w:rPr>
                <w:rFonts w:ascii="Century Gothic" w:hAnsi="Century Gothic"/>
                <w:sz w:val="24"/>
                <w:szCs w:val="24"/>
              </w:rPr>
              <w:t>émarche</w:t>
            </w: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Pr="00BC338D">
              <w:rPr>
                <w:rFonts w:ascii="Century Gothic" w:hAnsi="Century Gothic"/>
                <w:sz w:val="24"/>
                <w:szCs w:val="24"/>
              </w:rPr>
              <w:t xml:space="preserve"> auprès de la BAD en vue d</w:t>
            </w:r>
            <w:r w:rsidR="00852386">
              <w:rPr>
                <w:rFonts w:ascii="Century Gothic" w:hAnsi="Century Gothic"/>
                <w:sz w:val="24"/>
                <w:szCs w:val="24"/>
              </w:rPr>
              <w:t>e la concrétisation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BC338D">
              <w:rPr>
                <w:rFonts w:ascii="Century Gothic" w:hAnsi="Century Gothic"/>
                <w:sz w:val="24"/>
                <w:szCs w:val="24"/>
              </w:rPr>
              <w:t xml:space="preserve"> avant la clôture financière</w:t>
            </w:r>
            <w:r>
              <w:rPr>
                <w:rFonts w:ascii="Century Gothic" w:hAnsi="Century Gothic"/>
                <w:sz w:val="24"/>
                <w:szCs w:val="24"/>
              </w:rPr>
              <w:t>,</w:t>
            </w:r>
            <w:r w:rsidRPr="00BC338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52386">
              <w:rPr>
                <w:rFonts w:ascii="Century Gothic" w:hAnsi="Century Gothic"/>
                <w:sz w:val="24"/>
                <w:szCs w:val="24"/>
              </w:rPr>
              <w:t xml:space="preserve">du </w:t>
            </w:r>
            <w:r w:rsidRPr="00BC338D">
              <w:rPr>
                <w:rFonts w:ascii="Century Gothic" w:hAnsi="Century Gothic"/>
                <w:sz w:val="24"/>
                <w:szCs w:val="24"/>
              </w:rPr>
              <w:t xml:space="preserve"> financement </w:t>
            </w:r>
            <w:r w:rsidR="00852386">
              <w:rPr>
                <w:rFonts w:ascii="Century Gothic" w:hAnsi="Century Gothic"/>
                <w:sz w:val="24"/>
                <w:szCs w:val="24"/>
              </w:rPr>
              <w:t xml:space="preserve">que cette Banque </w:t>
            </w:r>
            <w:r w:rsidR="00D24727">
              <w:rPr>
                <w:rFonts w:ascii="Century Gothic" w:hAnsi="Century Gothic"/>
                <w:sz w:val="24"/>
                <w:szCs w:val="24"/>
              </w:rPr>
              <w:t xml:space="preserve">compte accorder </w:t>
            </w:r>
            <w:r w:rsidRPr="00BC338D">
              <w:rPr>
                <w:rFonts w:ascii="Century Gothic" w:hAnsi="Century Gothic"/>
                <w:sz w:val="24"/>
                <w:szCs w:val="24"/>
              </w:rPr>
              <w:lastRenderedPageBreak/>
              <w:t>pour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852386">
              <w:rPr>
                <w:rFonts w:ascii="Century Gothic" w:hAnsi="Century Gothic"/>
                <w:sz w:val="24"/>
                <w:szCs w:val="24"/>
              </w:rPr>
              <w:t xml:space="preserve">les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expropriations </w:t>
            </w:r>
            <w:r w:rsidR="00D24727">
              <w:rPr>
                <w:rFonts w:ascii="Century Gothic" w:hAnsi="Century Gothic"/>
                <w:sz w:val="24"/>
                <w:szCs w:val="24"/>
              </w:rPr>
              <w:t xml:space="preserve">et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indemnisations </w:t>
            </w:r>
            <w:r w:rsidRPr="00BC338D">
              <w:rPr>
                <w:rFonts w:ascii="Century Gothic" w:hAnsi="Century Gothic"/>
                <w:sz w:val="24"/>
                <w:szCs w:val="24"/>
              </w:rPr>
              <w:t xml:space="preserve"> des personnes affectées par le Projet</w:t>
            </w:r>
            <w:r w:rsidR="00D24727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572BBA43" w14:textId="671CCF23" w:rsidR="00852386" w:rsidRDefault="00D31403" w:rsidP="00D24727">
            <w:pPr>
              <w:pStyle w:val="Paragraphedeliste"/>
              <w:ind w:left="50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338D">
              <w:rPr>
                <w:rFonts w:ascii="Century Gothic" w:hAnsi="Century Gothic"/>
                <w:sz w:val="24"/>
                <w:szCs w:val="24"/>
              </w:rPr>
              <w:t> </w:t>
            </w:r>
          </w:p>
          <w:p w14:paraId="2677A25E" w14:textId="512B5968" w:rsidR="00D31403" w:rsidRDefault="00852386" w:rsidP="00D24727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</w:t>
            </w:r>
            <w:r w:rsidR="00D31403" w:rsidRPr="00BC338D">
              <w:rPr>
                <w:rFonts w:ascii="Century Gothic" w:hAnsi="Century Gothic"/>
                <w:sz w:val="24"/>
                <w:szCs w:val="24"/>
              </w:rPr>
              <w:t>ctroi à la Société de Projet REL des concessions par la RDC et le Rwanda. Le coût des expropriations</w:t>
            </w:r>
            <w:r w:rsidR="00D31403">
              <w:rPr>
                <w:rFonts w:ascii="Century Gothic" w:hAnsi="Century Gothic"/>
                <w:sz w:val="24"/>
                <w:szCs w:val="24"/>
              </w:rPr>
              <w:t>,</w:t>
            </w:r>
            <w:r w:rsidR="00D31403" w:rsidRPr="00BC338D">
              <w:rPr>
                <w:rFonts w:ascii="Century Gothic" w:hAnsi="Century Gothic"/>
                <w:sz w:val="24"/>
                <w:szCs w:val="24"/>
              </w:rPr>
              <w:t xml:space="preserve"> tel qu’évalué par la Société de Projet REL</w:t>
            </w:r>
            <w:r w:rsidR="00D31403">
              <w:rPr>
                <w:rFonts w:ascii="Century Gothic" w:hAnsi="Century Gothic"/>
                <w:sz w:val="24"/>
                <w:szCs w:val="24"/>
              </w:rPr>
              <w:t>,</w:t>
            </w:r>
            <w:r w:rsidR="00D31403" w:rsidRPr="00BC338D">
              <w:rPr>
                <w:rFonts w:ascii="Century Gothic" w:hAnsi="Century Gothic"/>
                <w:sz w:val="24"/>
                <w:szCs w:val="24"/>
              </w:rPr>
              <w:t xml:space="preserve"> s’élève actuellement à </w:t>
            </w:r>
            <w:r w:rsidR="00D24727">
              <w:rPr>
                <w:rFonts w:ascii="Century Gothic" w:hAnsi="Century Gothic"/>
                <w:sz w:val="24"/>
                <w:szCs w:val="24"/>
              </w:rPr>
              <w:t>près</w:t>
            </w:r>
            <w:r w:rsidR="00D31403" w:rsidRPr="00BC338D">
              <w:rPr>
                <w:rFonts w:ascii="Century Gothic" w:hAnsi="Century Gothic"/>
                <w:sz w:val="24"/>
                <w:szCs w:val="24"/>
              </w:rPr>
              <w:t xml:space="preserve"> de 12 millions de Dollars américains.</w:t>
            </w:r>
          </w:p>
        </w:tc>
      </w:tr>
      <w:tr w:rsidR="00D31403" w:rsidRPr="00162B6E" w14:paraId="1F56E634" w14:textId="77777777" w:rsidTr="00122403">
        <w:trPr>
          <w:trHeight w:val="8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92AD" w14:textId="77777777" w:rsidR="00D31403" w:rsidRDefault="00D31403" w:rsidP="00293E7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41ACD2A" w14:textId="2A169B04" w:rsidR="00D31403" w:rsidRDefault="00D31403" w:rsidP="0081402C">
            <w:pPr>
              <w:pStyle w:val="Paragraphedeliste"/>
              <w:numPr>
                <w:ilvl w:val="0"/>
                <w:numId w:val="23"/>
              </w:numPr>
              <w:ind w:left="346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EA26A2">
              <w:rPr>
                <w:rFonts w:ascii="Century Gothic" w:hAnsi="Century Gothic"/>
                <w:b/>
                <w:sz w:val="24"/>
                <w:szCs w:val="24"/>
              </w:rPr>
              <w:t xml:space="preserve">Suivi de l’Exécution des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infrastructures</w:t>
            </w:r>
            <w:r w:rsidRPr="00EA26A2">
              <w:rPr>
                <w:rFonts w:ascii="Century Gothic" w:hAnsi="Century Gothic"/>
                <w:b/>
                <w:sz w:val="24"/>
                <w:szCs w:val="24"/>
              </w:rPr>
              <w:t xml:space="preserve"> associé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e</w:t>
            </w:r>
            <w:r w:rsidRPr="00EA26A2">
              <w:rPr>
                <w:rFonts w:ascii="Century Gothic" w:hAnsi="Century Gothic"/>
                <w:b/>
                <w:sz w:val="24"/>
                <w:szCs w:val="24"/>
              </w:rPr>
              <w:t>s à ce Projet principal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DBDC649" w14:textId="5430FAE0" w:rsidR="00D31403" w:rsidRDefault="00D31403" w:rsidP="00514368">
            <w:pPr>
              <w:pStyle w:val="Paragraphedeliste"/>
              <w:spacing w:after="0"/>
              <w:ind w:left="502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338D">
              <w:rPr>
                <w:rFonts w:ascii="Century Gothic" w:hAnsi="Century Gothic"/>
                <w:b/>
                <w:sz w:val="24"/>
                <w:szCs w:val="24"/>
              </w:rPr>
              <w:t>Poste de Kamanyola et Ligne Kamanyola-Buhandahanda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(RDC)</w:t>
            </w:r>
            <w:r w:rsidR="00514368">
              <w:rPr>
                <w:rFonts w:ascii="Century Gothic" w:hAnsi="Century Gothic"/>
                <w:sz w:val="24"/>
                <w:szCs w:val="24"/>
              </w:rPr>
              <w:t> </w:t>
            </w:r>
          </w:p>
          <w:p w14:paraId="246CCD57" w14:textId="480001D3" w:rsidR="00D31403" w:rsidRDefault="00D24727" w:rsidP="00514368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KfW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 déjà recruté un </w:t>
            </w:r>
            <w:r w:rsidR="00D31403">
              <w:rPr>
                <w:rFonts w:ascii="Century Gothic" w:hAnsi="Century Gothic"/>
                <w:sz w:val="24"/>
                <w:szCs w:val="24"/>
              </w:rPr>
              <w:t>agent de soumission qui va appuyer EGL dans le processus de la Passation des Marchés ;</w:t>
            </w:r>
          </w:p>
          <w:p w14:paraId="4352C528" w14:textId="553FE345" w:rsidR="00D24727" w:rsidRDefault="00D24727" w:rsidP="00514368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Restructuration, avec l’appui de </w:t>
            </w:r>
            <w:r w:rsidR="00A16340">
              <w:rPr>
                <w:rFonts w:ascii="Century Gothic" w:hAnsi="Century Gothic"/>
                <w:sz w:val="24"/>
                <w:szCs w:val="24"/>
              </w:rPr>
              <w:t xml:space="preserve">l’Agent de soumission recruté par la </w:t>
            </w:r>
            <w:proofErr w:type="spellStart"/>
            <w:r w:rsidR="00A16340">
              <w:rPr>
                <w:rFonts w:ascii="Century Gothic" w:hAnsi="Century Gothic"/>
                <w:sz w:val="24"/>
                <w:szCs w:val="24"/>
              </w:rPr>
              <w:t>KfW</w:t>
            </w:r>
            <w:proofErr w:type="spellEnd"/>
            <w:r w:rsidR="00A16340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des Termes de Référence pour la révision des études pour le</w:t>
            </w:r>
            <w:r w:rsidR="00A16340">
              <w:rPr>
                <w:rFonts w:ascii="Century Gothic" w:hAnsi="Century Gothic"/>
                <w:sz w:val="24"/>
                <w:szCs w:val="24"/>
              </w:rPr>
              <w:t xml:space="preserve"> Poste de Kamanyola et pour la L</w:t>
            </w:r>
            <w:r>
              <w:rPr>
                <w:rFonts w:ascii="Century Gothic" w:hAnsi="Century Gothic"/>
                <w:sz w:val="24"/>
                <w:szCs w:val="24"/>
              </w:rPr>
              <w:t>igne Kamanyola-Buhandahanda ;</w:t>
            </w:r>
          </w:p>
          <w:p w14:paraId="28F7EA5E" w14:textId="46A87D43" w:rsidR="00D31403" w:rsidRDefault="00D31403" w:rsidP="00303DEF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Suivi de la révision des études techniques et des étude</w:t>
            </w:r>
            <w:r w:rsidR="00D24727">
              <w:rPr>
                <w:rFonts w:ascii="Century Gothic" w:hAnsi="Century Gothic"/>
                <w:sz w:val="24"/>
                <w:szCs w:val="24"/>
              </w:rPr>
              <w:t>s environnementales et sociales ;</w:t>
            </w:r>
          </w:p>
          <w:p w14:paraId="2421969B" w14:textId="3E262778" w:rsidR="00D24727" w:rsidRPr="00D24727" w:rsidRDefault="00D24727" w:rsidP="00D24727">
            <w:pPr>
              <w:pStyle w:val="Paragraphedeliste"/>
              <w:numPr>
                <w:ilvl w:val="0"/>
                <w:numId w:val="5"/>
              </w:numPr>
              <w:rPr>
                <w:rFonts w:ascii="Century Gothic" w:hAnsi="Century Gothic"/>
                <w:sz w:val="24"/>
                <w:szCs w:val="24"/>
              </w:rPr>
            </w:pPr>
            <w:r w:rsidRPr="00D24727">
              <w:rPr>
                <w:rFonts w:ascii="Century Gothic" w:hAnsi="Century Gothic"/>
                <w:sz w:val="24"/>
                <w:szCs w:val="24"/>
              </w:rPr>
              <w:t>Recrutement d’un Ingénieur-Conseil chargé de la surveillance des travaux</w:t>
            </w:r>
            <w:r w:rsidR="00FE4073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9E6D836" w14:textId="77777777" w:rsidR="00D31403" w:rsidRDefault="00D31403" w:rsidP="00303DEF">
            <w:pPr>
              <w:pStyle w:val="Paragraphedeliste"/>
              <w:ind w:left="502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14:paraId="38017512" w14:textId="77777777" w:rsidR="00D31403" w:rsidRDefault="00D31403" w:rsidP="00303DEF">
            <w:pPr>
              <w:pStyle w:val="Paragraphedeliste"/>
              <w:ind w:left="502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C338D">
              <w:rPr>
                <w:rFonts w:ascii="Century Gothic" w:hAnsi="Century Gothic"/>
                <w:b/>
                <w:sz w:val="24"/>
                <w:szCs w:val="24"/>
              </w:rPr>
              <w:t>Ligne Kamanyola-Karongi (Rwanda)</w:t>
            </w:r>
          </w:p>
          <w:p w14:paraId="2AF50B22" w14:textId="43FAA9E1" w:rsidR="00D31403" w:rsidRDefault="00D31403" w:rsidP="00514368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Suivi des pourparlers en cours entre le Rwanda et la BEI.</w:t>
            </w:r>
          </w:p>
          <w:p w14:paraId="6BF14044" w14:textId="77777777" w:rsidR="00FE4073" w:rsidRDefault="00FE4073" w:rsidP="00BC6CDB">
            <w:p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8DB899A" w14:textId="4CAE1967" w:rsidR="00BC6CDB" w:rsidRDefault="00D31403" w:rsidP="00FE4073">
            <w:pPr>
              <w:pStyle w:val="Paragraphedeliste"/>
              <w:numPr>
                <w:ilvl w:val="0"/>
                <w:numId w:val="5"/>
              </w:numPr>
              <w:spacing w:after="0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EA26A2">
              <w:rPr>
                <w:rFonts w:ascii="Century Gothic" w:hAnsi="Century Gothic"/>
                <w:b/>
                <w:sz w:val="24"/>
                <w:szCs w:val="24"/>
              </w:rPr>
              <w:t>Ligne Kamanyola-Bujumbura (Burundi)</w:t>
            </w:r>
          </w:p>
          <w:p w14:paraId="733DA7AF" w14:textId="7A2AA402" w:rsidR="00D31403" w:rsidRDefault="00FE4073" w:rsidP="000507DF">
            <w:pPr>
              <w:spacing w:after="0"/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       </w:t>
            </w:r>
            <w:r>
              <w:rPr>
                <w:rFonts w:ascii="Century Gothic" w:hAnsi="Century Gothic"/>
                <w:sz w:val="24"/>
                <w:szCs w:val="24"/>
              </w:rPr>
              <w:t>V</w:t>
            </w:r>
            <w:r w:rsidRPr="005A02BA">
              <w:rPr>
                <w:rFonts w:ascii="Century Gothic" w:hAnsi="Century Gothic"/>
                <w:sz w:val="24"/>
                <w:szCs w:val="24"/>
              </w:rPr>
              <w:t>érifi</w:t>
            </w:r>
            <w:r>
              <w:rPr>
                <w:rFonts w:ascii="Century Gothic" w:hAnsi="Century Gothic"/>
                <w:sz w:val="24"/>
                <w:szCs w:val="24"/>
              </w:rPr>
              <w:t>cation de la conformité du dimensionnement de la</w:t>
            </w:r>
            <w:r w:rsidR="000507DF">
              <w:rPr>
                <w:rFonts w:ascii="Century Gothic" w:hAnsi="Century Gothic"/>
                <w:sz w:val="24"/>
                <w:szCs w:val="24"/>
              </w:rPr>
              <w:br/>
              <w:t xml:space="preserve">      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ligne avec les exigences de la Banque Mondiale :</w:t>
            </w:r>
            <w:r w:rsidR="000507DF">
              <w:rPr>
                <w:rFonts w:ascii="Century Gothic" w:hAnsi="Century Gothic"/>
                <w:sz w:val="24"/>
                <w:szCs w:val="24"/>
              </w:rPr>
              <w:br/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507DF">
              <w:rPr>
                <w:rFonts w:ascii="Century Gothic" w:hAnsi="Century Gothic"/>
                <w:sz w:val="24"/>
                <w:szCs w:val="24"/>
              </w:rPr>
              <w:t xml:space="preserve">      (</w:t>
            </w:r>
            <w:r w:rsidRPr="00FE4073">
              <w:rPr>
                <w:rFonts w:ascii="Century Gothic" w:hAnsi="Century Gothic"/>
                <w:sz w:val="24"/>
                <w:szCs w:val="24"/>
              </w:rPr>
              <w:t>Chaque ligne doit être capable de transiter toute la</w:t>
            </w:r>
            <w:r>
              <w:rPr>
                <w:rFonts w:ascii="Century Gothic" w:hAnsi="Century Gothic"/>
                <w:sz w:val="24"/>
                <w:szCs w:val="24"/>
              </w:rPr>
              <w:br/>
              <w:t xml:space="preserve">         </w:t>
            </w:r>
            <w:r w:rsidRPr="00FE4073">
              <w:rPr>
                <w:rFonts w:ascii="Century Gothic" w:hAnsi="Century Gothic"/>
                <w:sz w:val="24"/>
                <w:szCs w:val="24"/>
              </w:rPr>
              <w:t>capacité de Ruzizi III en cas de désistement d’un pays</w:t>
            </w:r>
            <w:r w:rsidR="000507DF">
              <w:rPr>
                <w:rFonts w:ascii="Century Gothic" w:hAnsi="Century Gothic"/>
                <w:sz w:val="24"/>
                <w:szCs w:val="24"/>
              </w:rPr>
              <w:br/>
              <w:t xml:space="preserve">         </w:t>
            </w:r>
            <w:r w:rsidRPr="00FE4073">
              <w:rPr>
                <w:rFonts w:ascii="Century Gothic" w:hAnsi="Century Gothic"/>
                <w:sz w:val="24"/>
                <w:szCs w:val="24"/>
              </w:rPr>
              <w:t>de consommer sa quote-part).</w:t>
            </w:r>
          </w:p>
        </w:tc>
      </w:tr>
      <w:tr w:rsidR="00102DAB" w:rsidRPr="00162B6E" w14:paraId="3FA6C1B4" w14:textId="77777777" w:rsidTr="00122403">
        <w:trPr>
          <w:trHeight w:val="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B7F4" w14:textId="6298BCB7" w:rsidR="00102DAB" w:rsidRDefault="0081402C" w:rsidP="00293E7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  <w:r w:rsidRPr="0070057F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35A38C9A" w14:textId="77777777" w:rsidR="0081402C" w:rsidRPr="00162B6E" w:rsidRDefault="0081402C" w:rsidP="008140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62B6E">
              <w:rPr>
                <w:rFonts w:ascii="Century Gothic" w:hAnsi="Century Gothic"/>
                <w:b/>
                <w:sz w:val="24"/>
                <w:szCs w:val="24"/>
              </w:rPr>
              <w:t xml:space="preserve">Activités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à réaliser après la clôture financière </w:t>
            </w:r>
          </w:p>
          <w:p w14:paraId="0EF9F5AB" w14:textId="77777777" w:rsidR="00102DAB" w:rsidRDefault="00102DAB" w:rsidP="00FA42A4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0B5E02F" w14:textId="77777777" w:rsidR="0081402C" w:rsidRDefault="0081402C" w:rsidP="0081402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</w:t>
            </w:r>
            <w:r w:rsidRPr="00B67E12">
              <w:rPr>
                <w:rFonts w:ascii="Century Gothic" w:hAnsi="Century Gothic"/>
                <w:sz w:val="24"/>
                <w:szCs w:val="24"/>
              </w:rPr>
              <w:t>articipation des Etats au Capital social de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67E12">
              <w:rPr>
                <w:rFonts w:ascii="Century Gothic" w:hAnsi="Century Gothic"/>
                <w:sz w:val="24"/>
                <w:szCs w:val="24"/>
              </w:rPr>
              <w:t>la Société de Projet REL à la Clôture financière, et nomination des Représentants des Etats au Conseil d’Administration de REL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(1 représentant par Pays)</w:t>
            </w:r>
            <w:r w:rsidRPr="00B67E12">
              <w:rPr>
                <w:rFonts w:ascii="Century Gothic" w:hAnsi="Century Gothic"/>
                <w:sz w:val="24"/>
                <w:szCs w:val="24"/>
              </w:rPr>
              <w:t>;</w:t>
            </w:r>
          </w:p>
          <w:p w14:paraId="4C663148" w14:textId="77777777" w:rsidR="0081402C" w:rsidRDefault="0081402C" w:rsidP="0081402C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67E12">
              <w:rPr>
                <w:rFonts w:ascii="Century Gothic" w:hAnsi="Century Gothic"/>
                <w:sz w:val="24"/>
                <w:szCs w:val="24"/>
              </w:rPr>
              <w:lastRenderedPageBreak/>
              <w:t xml:space="preserve">Suivi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 Accords de </w:t>
            </w:r>
            <w:r w:rsidRPr="00B67E12">
              <w:rPr>
                <w:rFonts w:ascii="Century Gothic" w:hAnsi="Century Gothic"/>
                <w:sz w:val="24"/>
                <w:szCs w:val="24"/>
              </w:rPr>
              <w:t xml:space="preserve">rétrocession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des financements des Etats contractants </w:t>
            </w:r>
            <w:r w:rsidRPr="00B67E12">
              <w:rPr>
                <w:rFonts w:ascii="Century Gothic" w:hAnsi="Century Gothic"/>
                <w:sz w:val="24"/>
                <w:szCs w:val="24"/>
              </w:rPr>
              <w:t>à la Société de Projet REL;</w:t>
            </w:r>
          </w:p>
          <w:p w14:paraId="74579DC6" w14:textId="283D3BC8" w:rsidR="00FE4073" w:rsidRPr="00FE4073" w:rsidRDefault="00FE4073" w:rsidP="00FE4073">
            <w:pPr>
              <w:pStyle w:val="Paragraphedeliste"/>
              <w:numPr>
                <w:ilvl w:val="0"/>
                <w:numId w:val="22"/>
              </w:numPr>
              <w:rPr>
                <w:rFonts w:ascii="Century Gothic" w:hAnsi="Century Gothic"/>
                <w:sz w:val="24"/>
                <w:szCs w:val="24"/>
              </w:rPr>
            </w:pPr>
            <w:r w:rsidRPr="00FE4073">
              <w:rPr>
                <w:rFonts w:ascii="Century Gothic" w:hAnsi="Century Gothic"/>
                <w:sz w:val="24"/>
                <w:szCs w:val="24"/>
              </w:rPr>
              <w:t>Suivi des travaux de Construction de la Centrale hydroélectrique de Ruzizi III pendant une durée de 48 à 56 mois;</w:t>
            </w:r>
          </w:p>
          <w:p w14:paraId="2652557F" w14:textId="5D0D47CD" w:rsidR="00102DAB" w:rsidRDefault="00FE4073" w:rsidP="00956EE2">
            <w:pPr>
              <w:pStyle w:val="Paragraphedeliste"/>
              <w:numPr>
                <w:ilvl w:val="0"/>
                <w:numId w:val="22"/>
              </w:numPr>
              <w:jc w:val="both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Suivi des travaux de c</w:t>
            </w:r>
            <w:r w:rsidR="0081402C" w:rsidRPr="00031E71">
              <w:rPr>
                <w:rFonts w:ascii="Century Gothic" w:hAnsi="Century Gothic"/>
                <w:sz w:val="24"/>
                <w:szCs w:val="24"/>
              </w:rPr>
              <w:t>onstruction en parallèle, durant les trois premières années après la clôture financière, des infrastructures associées à Ruzizi III (Poste 220 kV de Kamanyola, Ligne Kamanyola-Buhandahanda, Ligne Kamanyola-Karongi)</w:t>
            </w:r>
            <w:r w:rsidR="00956EE2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144487" w:rsidRPr="00162B6E" w14:paraId="4210CBD6" w14:textId="77777777" w:rsidTr="00122403">
        <w:trPr>
          <w:trHeight w:val="6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439802" w14:textId="4472BB57" w:rsidR="00144487" w:rsidRDefault="00144487" w:rsidP="00844F2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1</w:t>
            </w:r>
            <w:r w:rsidR="00CE6473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4731" w14:textId="54F45CB2" w:rsidR="00144487" w:rsidRPr="00162B6E" w:rsidRDefault="006E2720" w:rsidP="00031E71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</w:t>
            </w:r>
            <w:r w:rsidR="00144487">
              <w:rPr>
                <w:rFonts w:ascii="Century Gothic" w:hAnsi="Century Gothic"/>
                <w:b/>
                <w:sz w:val="24"/>
                <w:szCs w:val="24"/>
              </w:rPr>
              <w:t>inancement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s</w:t>
            </w:r>
            <w:r w:rsidR="0014448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A25393">
              <w:rPr>
                <w:rFonts w:ascii="Century Gothic" w:hAnsi="Century Gothic"/>
                <w:b/>
                <w:sz w:val="24"/>
                <w:szCs w:val="24"/>
              </w:rPr>
              <w:t>à mobilis</w:t>
            </w:r>
            <w:r w:rsidR="00031E71">
              <w:rPr>
                <w:rFonts w:ascii="Century Gothic" w:hAnsi="Century Gothic"/>
                <w:b/>
                <w:sz w:val="24"/>
                <w:szCs w:val="24"/>
              </w:rPr>
              <w:t xml:space="preserve">er </w:t>
            </w:r>
            <w:r w:rsidR="00A25393">
              <w:rPr>
                <w:rFonts w:ascii="Century Gothic" w:hAnsi="Century Gothic"/>
                <w:b/>
                <w:sz w:val="24"/>
                <w:szCs w:val="24"/>
              </w:rPr>
              <w:t>par les Etats</w:t>
            </w:r>
            <w:r w:rsidR="00844F2D">
              <w:rPr>
                <w:rFonts w:ascii="Century Gothic" w:hAnsi="Century Gothic"/>
                <w:b/>
                <w:sz w:val="24"/>
                <w:szCs w:val="24"/>
              </w:rPr>
              <w:t> : 532,6 MUSD</w:t>
            </w:r>
            <w:r w:rsidR="00144487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Grilledutableau"/>
              <w:tblW w:w="7170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921"/>
              <w:gridCol w:w="819"/>
              <w:gridCol w:w="922"/>
              <w:gridCol w:w="4508"/>
            </w:tblGrid>
            <w:tr w:rsidR="006E2720" w:rsidRPr="00E3424C" w14:paraId="1291A0C9" w14:textId="77777777" w:rsidTr="009C76F1">
              <w:trPr>
                <w:trHeight w:val="772"/>
              </w:trPr>
              <w:tc>
                <w:tcPr>
                  <w:tcW w:w="921" w:type="dxa"/>
                  <w:shd w:val="clear" w:color="auto" w:fill="0033CC"/>
                </w:tcPr>
                <w:p w14:paraId="1EF5A59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Bailleur de fonds</w:t>
                  </w:r>
                </w:p>
              </w:tc>
              <w:tc>
                <w:tcPr>
                  <w:tcW w:w="819" w:type="dxa"/>
                  <w:shd w:val="clear" w:color="auto" w:fill="0033CC"/>
                </w:tcPr>
                <w:p w14:paraId="50DDE1C0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Pays bénéficiaire</w:t>
                  </w:r>
                </w:p>
              </w:tc>
              <w:tc>
                <w:tcPr>
                  <w:tcW w:w="922" w:type="dxa"/>
                  <w:shd w:val="clear" w:color="auto" w:fill="0033CC"/>
                </w:tcPr>
                <w:p w14:paraId="6B2A6B6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Montant (MUSD)</w:t>
                  </w:r>
                </w:p>
              </w:tc>
              <w:tc>
                <w:tcPr>
                  <w:tcW w:w="4508" w:type="dxa"/>
                  <w:shd w:val="clear" w:color="auto" w:fill="0033CC"/>
                </w:tcPr>
                <w:p w14:paraId="556804EB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b/>
                      <w:bCs/>
                      <w:sz w:val="20"/>
                      <w:szCs w:val="20"/>
                    </w:rPr>
                    <w:t>Référence</w:t>
                  </w:r>
                </w:p>
              </w:tc>
            </w:tr>
            <w:tr w:rsidR="006E2720" w:rsidRPr="00E3424C" w14:paraId="2DE28776" w14:textId="77777777" w:rsidTr="009C76F1">
              <w:trPr>
                <w:trHeight w:val="510"/>
              </w:trPr>
              <w:tc>
                <w:tcPr>
                  <w:tcW w:w="921" w:type="dxa"/>
                  <w:vMerge w:val="restart"/>
                  <w:shd w:val="clear" w:color="auto" w:fill="FFF2CC" w:themeFill="accent4" w:themeFillTint="33"/>
                  <w:vAlign w:val="center"/>
                </w:tcPr>
                <w:p w14:paraId="77D20AB2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Banque Africaine de Développement (BAD)</w:t>
                  </w:r>
                </w:p>
              </w:tc>
              <w:tc>
                <w:tcPr>
                  <w:tcW w:w="819" w:type="dxa"/>
                  <w:vAlign w:val="center"/>
                </w:tcPr>
                <w:p w14:paraId="4FF13A09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Burundi</w:t>
                  </w:r>
                </w:p>
              </w:tc>
              <w:tc>
                <w:tcPr>
                  <w:tcW w:w="922" w:type="dxa"/>
                  <w:shd w:val="clear" w:color="auto" w:fill="66FFFF"/>
                  <w:vAlign w:val="center"/>
                </w:tcPr>
                <w:p w14:paraId="744C505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27,5 (19,29 MUC)</w:t>
                  </w:r>
                </w:p>
              </w:tc>
              <w:tc>
                <w:tcPr>
                  <w:tcW w:w="4508" w:type="dxa"/>
                </w:tcPr>
                <w:p w14:paraId="2EB34172" w14:textId="251B81BF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Protocole d’Accord signé le 07 Mars 2016/Projet P-Z1-FAO-076, Don n°21001155031719</w:t>
                  </w:r>
                </w:p>
              </w:tc>
            </w:tr>
            <w:tr w:rsidR="006E2720" w:rsidRPr="00E3424C" w14:paraId="72B4CF2A" w14:textId="77777777" w:rsidTr="009C76F1">
              <w:trPr>
                <w:trHeight w:val="510"/>
              </w:trPr>
              <w:tc>
                <w:tcPr>
                  <w:tcW w:w="921" w:type="dxa"/>
                  <w:vMerge/>
                  <w:shd w:val="clear" w:color="auto" w:fill="FFF2CC" w:themeFill="accent4" w:themeFillTint="33"/>
                </w:tcPr>
                <w:p w14:paraId="6673738F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76252FE7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922" w:type="dxa"/>
                  <w:shd w:val="clear" w:color="auto" w:fill="66FFFF"/>
                  <w:vAlign w:val="center"/>
                </w:tcPr>
                <w:p w14:paraId="0BABB3E5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78,5 (55,13 MUC)</w:t>
                  </w:r>
                </w:p>
              </w:tc>
              <w:tc>
                <w:tcPr>
                  <w:tcW w:w="4508" w:type="dxa"/>
                </w:tcPr>
                <w:p w14:paraId="55211F26" w14:textId="27495032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Protocole d’Accord signé le 14 novembre 2016/Projet P-Z1-FAO-078,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Don n°5900155010502</w:t>
                  </w:r>
                </w:p>
              </w:tc>
            </w:tr>
            <w:tr w:rsidR="006E2720" w:rsidRPr="00E3424C" w14:paraId="2DBE9462" w14:textId="77777777" w:rsidTr="009C76F1">
              <w:trPr>
                <w:trHeight w:val="510"/>
              </w:trPr>
              <w:tc>
                <w:tcPr>
                  <w:tcW w:w="921" w:type="dxa"/>
                  <w:vMerge/>
                  <w:shd w:val="clear" w:color="auto" w:fill="FFF2CC" w:themeFill="accent4" w:themeFillTint="33"/>
                </w:tcPr>
                <w:p w14:paraId="1D7C80B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4C6282B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Rwanda</w:t>
                  </w:r>
                </w:p>
              </w:tc>
              <w:tc>
                <w:tcPr>
                  <w:tcW w:w="922" w:type="dxa"/>
                  <w:shd w:val="clear" w:color="auto" w:fill="66FFFF"/>
                  <w:vAlign w:val="center"/>
                </w:tcPr>
                <w:p w14:paraId="7A3E3E1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22,9 (MUC)</w:t>
                  </w:r>
                </w:p>
              </w:tc>
              <w:tc>
                <w:tcPr>
                  <w:tcW w:w="4508" w:type="dxa"/>
                </w:tcPr>
                <w:p w14:paraId="40E1B3E1" w14:textId="42965220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Protocole d’Accord signé le 16 mars 2016/Projet P-Z1-FAO-077, Prêt n°2100150034844</w:t>
                  </w:r>
                </w:p>
              </w:tc>
            </w:tr>
            <w:tr w:rsidR="006E2720" w:rsidRPr="00E3424C" w14:paraId="2487BB8F" w14:textId="77777777" w:rsidTr="009C76F1">
              <w:trPr>
                <w:trHeight w:val="259"/>
              </w:trPr>
              <w:tc>
                <w:tcPr>
                  <w:tcW w:w="921" w:type="dxa"/>
                  <w:vMerge w:val="restart"/>
                  <w:shd w:val="clear" w:color="auto" w:fill="FFE599" w:themeFill="accent4" w:themeFillTint="66"/>
                  <w:vAlign w:val="center"/>
                </w:tcPr>
                <w:p w14:paraId="034F3EAF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Banque Mondiale</w:t>
                  </w:r>
                </w:p>
              </w:tc>
              <w:tc>
                <w:tcPr>
                  <w:tcW w:w="819" w:type="dxa"/>
                  <w:vAlign w:val="center"/>
                </w:tcPr>
                <w:p w14:paraId="1224733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Burundi</w:t>
                  </w:r>
                </w:p>
              </w:tc>
              <w:tc>
                <w:tcPr>
                  <w:tcW w:w="922" w:type="dxa"/>
                  <w:shd w:val="clear" w:color="auto" w:fill="CCFFCC"/>
                  <w:vAlign w:val="center"/>
                </w:tcPr>
                <w:p w14:paraId="1B644B2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08" w:type="dxa"/>
                </w:tcPr>
                <w:p w14:paraId="71A365DD" w14:textId="30DE5A1E" w:rsidR="006E2720" w:rsidRPr="009C6A1A" w:rsidRDefault="00844F2D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En cours d’instruction </w:t>
                  </w:r>
                </w:p>
              </w:tc>
            </w:tr>
            <w:tr w:rsidR="006E2720" w:rsidRPr="00E3424C" w14:paraId="7BCF09DA" w14:textId="77777777" w:rsidTr="009C76F1">
              <w:trPr>
                <w:trHeight w:val="277"/>
              </w:trPr>
              <w:tc>
                <w:tcPr>
                  <w:tcW w:w="921" w:type="dxa"/>
                  <w:vMerge/>
                  <w:shd w:val="clear" w:color="auto" w:fill="FFE599" w:themeFill="accent4" w:themeFillTint="66"/>
                </w:tcPr>
                <w:p w14:paraId="06332290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Align w:val="center"/>
                </w:tcPr>
                <w:p w14:paraId="72C197F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922" w:type="dxa"/>
                  <w:shd w:val="clear" w:color="auto" w:fill="CCFFCC"/>
                  <w:vAlign w:val="center"/>
                </w:tcPr>
                <w:p w14:paraId="07F00500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08" w:type="dxa"/>
                </w:tcPr>
                <w:p w14:paraId="1DFC86E0" w14:textId="41EC1182" w:rsidR="006E2720" w:rsidRPr="009C6A1A" w:rsidRDefault="00844F2D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En cours d’instruction</w:t>
                  </w:r>
                </w:p>
              </w:tc>
            </w:tr>
            <w:tr w:rsidR="006E2720" w:rsidRPr="00E3424C" w14:paraId="36656D4E" w14:textId="77777777" w:rsidTr="009C76F1">
              <w:trPr>
                <w:trHeight w:val="281"/>
              </w:trPr>
              <w:tc>
                <w:tcPr>
                  <w:tcW w:w="921" w:type="dxa"/>
                  <w:vMerge/>
                  <w:shd w:val="clear" w:color="auto" w:fill="FFE599" w:themeFill="accent4" w:themeFillTint="66"/>
                </w:tcPr>
                <w:p w14:paraId="50B9DF2A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</w:tcPr>
                <w:p w14:paraId="05B3288D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Rwanda</w:t>
                  </w:r>
                </w:p>
              </w:tc>
              <w:tc>
                <w:tcPr>
                  <w:tcW w:w="922" w:type="dxa"/>
                  <w:shd w:val="clear" w:color="auto" w:fill="CCFFCC"/>
                </w:tcPr>
                <w:p w14:paraId="452757FA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508" w:type="dxa"/>
                </w:tcPr>
                <w:p w14:paraId="1166F8DA" w14:textId="006E55F6" w:rsidR="006E2720" w:rsidRPr="009C6A1A" w:rsidRDefault="00844F2D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En cours d’instruction</w:t>
                  </w:r>
                </w:p>
              </w:tc>
            </w:tr>
            <w:tr w:rsidR="006E2720" w:rsidRPr="00E3424C" w14:paraId="0DD6E3FB" w14:textId="77777777" w:rsidTr="009C76F1">
              <w:trPr>
                <w:trHeight w:val="1033"/>
              </w:trPr>
              <w:tc>
                <w:tcPr>
                  <w:tcW w:w="921" w:type="dxa"/>
                  <w:vMerge w:val="restart"/>
                  <w:shd w:val="clear" w:color="auto" w:fill="FFD966" w:themeFill="accent4" w:themeFillTint="99"/>
                  <w:vAlign w:val="center"/>
                </w:tcPr>
                <w:p w14:paraId="6C1F2652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Banque Européenne d’Investissement (BEI)</w:t>
                  </w:r>
                </w:p>
              </w:tc>
              <w:tc>
                <w:tcPr>
                  <w:tcW w:w="819" w:type="dxa"/>
                  <w:vMerge w:val="restart"/>
                  <w:vAlign w:val="center"/>
                </w:tcPr>
                <w:p w14:paraId="020E019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Burundi</w:t>
                  </w:r>
                </w:p>
              </w:tc>
              <w:tc>
                <w:tcPr>
                  <w:tcW w:w="922" w:type="dxa"/>
                  <w:shd w:val="clear" w:color="auto" w:fill="FFFF99"/>
                </w:tcPr>
                <w:p w14:paraId="6E5FC39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4,7</w:t>
                  </w:r>
                </w:p>
                <w:p w14:paraId="6AE03BFF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(4,55 M€)</w:t>
                  </w:r>
                </w:p>
              </w:tc>
              <w:tc>
                <w:tcPr>
                  <w:tcW w:w="4508" w:type="dxa"/>
                </w:tcPr>
                <w:p w14:paraId="376A8E03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Convention convertible n°89107 signée par les 2 Ministres des Finances, EGL, REL et la BEI, le 04 Mars 2021 d’un montant de 9,1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pour le Burundi et le Rwanda.</w:t>
                  </w:r>
                </w:p>
              </w:tc>
            </w:tr>
            <w:tr w:rsidR="006E2720" w:rsidRPr="00E3424C" w14:paraId="7C73B1D9" w14:textId="77777777" w:rsidTr="009C76F1">
              <w:trPr>
                <w:trHeight w:val="1033"/>
              </w:trPr>
              <w:tc>
                <w:tcPr>
                  <w:tcW w:w="921" w:type="dxa"/>
                  <w:vMerge/>
                  <w:shd w:val="clear" w:color="auto" w:fill="FFD966" w:themeFill="accent4" w:themeFillTint="99"/>
                </w:tcPr>
                <w:p w14:paraId="07F4D453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Merge/>
                </w:tcPr>
                <w:p w14:paraId="56823A3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FFFF99"/>
                </w:tcPr>
                <w:p w14:paraId="5CFFFD1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11,4</w:t>
                  </w:r>
                </w:p>
                <w:p w14:paraId="639D1C2B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(11Meur)</w:t>
                  </w:r>
                </w:p>
              </w:tc>
              <w:tc>
                <w:tcPr>
                  <w:tcW w:w="4508" w:type="dxa"/>
                </w:tcPr>
                <w:p w14:paraId="1D4E7C0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Lettre de la BEI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/GP-2/2016-0879/CGM/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07 Avril 2017.</w:t>
                  </w:r>
                </w:p>
                <w:p w14:paraId="66F913A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(Participation au Capital Social REL (UE-AITF). Le Montant est de 22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pour le Burundi et le Rwanda.</w:t>
                  </w:r>
                </w:p>
              </w:tc>
            </w:tr>
            <w:tr w:rsidR="006E2720" w:rsidRPr="00E3424C" w14:paraId="72A1DCD8" w14:textId="77777777" w:rsidTr="009C76F1">
              <w:trPr>
                <w:trHeight w:val="1033"/>
              </w:trPr>
              <w:tc>
                <w:tcPr>
                  <w:tcW w:w="921" w:type="dxa"/>
                  <w:vMerge/>
                  <w:shd w:val="clear" w:color="auto" w:fill="FFD966" w:themeFill="accent4" w:themeFillTint="99"/>
                </w:tcPr>
                <w:p w14:paraId="7D7ADD45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Merge/>
                </w:tcPr>
                <w:p w14:paraId="6D87A19D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FFFF99"/>
                </w:tcPr>
                <w:p w14:paraId="0750067D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35,1</w:t>
                  </w: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</w:p>
                <w:p w14:paraId="2415A607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(34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6D8F325B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Lettre de la BEI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/GP-2/2011-0624/CMG/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03 Août 2015.</w:t>
                  </w:r>
                </w:p>
                <w:p w14:paraId="298BC8C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Et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/GP-2/2016-0879/CMG/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07 Avril 2017. C’est un prêt en cours d’instruction.</w:t>
                  </w:r>
                </w:p>
              </w:tc>
            </w:tr>
            <w:tr w:rsidR="006E2720" w:rsidRPr="00E3424C" w14:paraId="2388BA6E" w14:textId="77777777" w:rsidTr="009C76F1">
              <w:trPr>
                <w:trHeight w:val="1033"/>
              </w:trPr>
              <w:tc>
                <w:tcPr>
                  <w:tcW w:w="921" w:type="dxa"/>
                  <w:vMerge/>
                  <w:shd w:val="clear" w:color="auto" w:fill="FFD966" w:themeFill="accent4" w:themeFillTint="99"/>
                </w:tcPr>
                <w:p w14:paraId="46A23BE9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</w:tcPr>
                <w:p w14:paraId="58E133C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922" w:type="dxa"/>
                  <w:shd w:val="clear" w:color="auto" w:fill="FFFF99"/>
                </w:tcPr>
                <w:p w14:paraId="528C6D33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35,1</w:t>
                  </w:r>
                </w:p>
                <w:p w14:paraId="70462CCB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(34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4F315DD5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Lettre de la BEI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/GP-2/2011-0624/CMG/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03 Août 2015.</w:t>
                  </w:r>
                </w:p>
                <w:p w14:paraId="33E99869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Et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/GP-2/2016-0879/CMG/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07 Avril 2017. C’est un prêt en cours d’instruction.</w:t>
                  </w:r>
                </w:p>
              </w:tc>
            </w:tr>
            <w:tr w:rsidR="006E2720" w:rsidRPr="00E3424C" w14:paraId="234FFD8B" w14:textId="77777777" w:rsidTr="009C76F1">
              <w:trPr>
                <w:trHeight w:val="1033"/>
              </w:trPr>
              <w:tc>
                <w:tcPr>
                  <w:tcW w:w="921" w:type="dxa"/>
                  <w:vMerge/>
                  <w:shd w:val="clear" w:color="auto" w:fill="FFD966" w:themeFill="accent4" w:themeFillTint="99"/>
                </w:tcPr>
                <w:p w14:paraId="4F64CFF9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Merge w:val="restart"/>
                  <w:vAlign w:val="center"/>
                </w:tcPr>
                <w:p w14:paraId="698B5E45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Rwanda</w:t>
                  </w:r>
                </w:p>
              </w:tc>
              <w:tc>
                <w:tcPr>
                  <w:tcW w:w="922" w:type="dxa"/>
                  <w:shd w:val="clear" w:color="auto" w:fill="FFFF99"/>
                </w:tcPr>
                <w:p w14:paraId="22AC5C9A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4,7</w:t>
                  </w:r>
                </w:p>
                <w:p w14:paraId="49694A20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(4,55 M€)</w:t>
                  </w:r>
                </w:p>
              </w:tc>
              <w:tc>
                <w:tcPr>
                  <w:tcW w:w="4508" w:type="dxa"/>
                </w:tcPr>
                <w:p w14:paraId="674D80B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Convention convertible n°89107 signée par les 2 Ministres des Finances, EGL, REL et la BEI, le 04 Mars 2021 d’un montant de 9,1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pour le Burundi et le Rwanda.</w:t>
                  </w:r>
                </w:p>
              </w:tc>
            </w:tr>
            <w:tr w:rsidR="006E2720" w:rsidRPr="00E3424C" w14:paraId="441BE4AA" w14:textId="77777777" w:rsidTr="009C76F1">
              <w:trPr>
                <w:trHeight w:val="1033"/>
              </w:trPr>
              <w:tc>
                <w:tcPr>
                  <w:tcW w:w="921" w:type="dxa"/>
                  <w:vMerge/>
                  <w:shd w:val="clear" w:color="auto" w:fill="FFD966" w:themeFill="accent4" w:themeFillTint="99"/>
                </w:tcPr>
                <w:p w14:paraId="4EBE8A2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Merge/>
                </w:tcPr>
                <w:p w14:paraId="7EC6A6A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FFFF99"/>
                </w:tcPr>
                <w:p w14:paraId="25F510A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11,4</w:t>
                  </w:r>
                </w:p>
                <w:p w14:paraId="458C3CAB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(11Meur)</w:t>
                  </w:r>
                </w:p>
              </w:tc>
              <w:tc>
                <w:tcPr>
                  <w:tcW w:w="4508" w:type="dxa"/>
                </w:tcPr>
                <w:p w14:paraId="300044D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Lettre de la BEI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/GP-2/2016-0879/CGM/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07 Avril 2017.</w:t>
                  </w:r>
                </w:p>
                <w:p w14:paraId="155DA1FB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(Participation au Capital Social REL (UE-AITF). Le Montant est de 22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pour le Burundi et le Rwanda.</w:t>
                  </w:r>
                </w:p>
              </w:tc>
            </w:tr>
            <w:tr w:rsidR="006E2720" w:rsidRPr="00E3424C" w14:paraId="6DFB92A9" w14:textId="77777777" w:rsidTr="009C76F1">
              <w:trPr>
                <w:trHeight w:val="1033"/>
              </w:trPr>
              <w:tc>
                <w:tcPr>
                  <w:tcW w:w="921" w:type="dxa"/>
                  <w:vMerge/>
                  <w:shd w:val="clear" w:color="auto" w:fill="FFD966" w:themeFill="accent4" w:themeFillTint="99"/>
                </w:tcPr>
                <w:p w14:paraId="7D20165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  <w:vMerge/>
                </w:tcPr>
                <w:p w14:paraId="5306C7FF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922" w:type="dxa"/>
                  <w:shd w:val="clear" w:color="auto" w:fill="FFFF99"/>
                </w:tcPr>
                <w:p w14:paraId="4633762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35,1</w:t>
                  </w:r>
                </w:p>
                <w:p w14:paraId="3F487AF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(34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5AA1B2BD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Lettre de la BEI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/GP-2/2011-0624/CMG/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03 Août 2015.</w:t>
                  </w:r>
                </w:p>
                <w:p w14:paraId="0852DD2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Et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Ops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/GP-2/2016-0879/CMG/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fdi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 du 07 Avril 2017. C’est un prêt en cours d’instruction.</w:t>
                  </w:r>
                </w:p>
              </w:tc>
            </w:tr>
            <w:tr w:rsidR="006E2720" w:rsidRPr="00E3424C" w14:paraId="7EA212CC" w14:textId="77777777" w:rsidTr="009C76F1">
              <w:trPr>
                <w:trHeight w:val="504"/>
              </w:trPr>
              <w:tc>
                <w:tcPr>
                  <w:tcW w:w="921" w:type="dxa"/>
                  <w:vMerge w:val="restart"/>
                  <w:shd w:val="clear" w:color="auto" w:fill="F7CAAC" w:themeFill="accent2" w:themeFillTint="66"/>
                  <w:vAlign w:val="center"/>
                </w:tcPr>
                <w:p w14:paraId="673647A4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KFW</w:t>
                  </w:r>
                </w:p>
              </w:tc>
              <w:tc>
                <w:tcPr>
                  <w:tcW w:w="819" w:type="dxa"/>
                </w:tcPr>
                <w:p w14:paraId="28674E4C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Burundi</w:t>
                  </w:r>
                </w:p>
              </w:tc>
              <w:tc>
                <w:tcPr>
                  <w:tcW w:w="922" w:type="dxa"/>
                  <w:shd w:val="clear" w:color="auto" w:fill="FFCCFF"/>
                </w:tcPr>
                <w:p w14:paraId="1E338CC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12,4</w:t>
                  </w:r>
                </w:p>
                <w:p w14:paraId="3AAC9FF6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(12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0B8168E7" w14:textId="163D6914" w:rsidR="006E2720" w:rsidRPr="009C6A1A" w:rsidRDefault="00844F2D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Convention de Don signé en </w:t>
                  </w:r>
                  <w:r w:rsidR="006E2720" w:rsidRPr="009C6A1A">
                    <w:rPr>
                      <w:rFonts w:ascii="Century Gothic" w:hAnsi="Century Gothic"/>
                      <w:sz w:val="20"/>
                      <w:szCs w:val="20"/>
                    </w:rPr>
                    <w:t>2013.</w:t>
                  </w:r>
                </w:p>
              </w:tc>
            </w:tr>
            <w:tr w:rsidR="006E2720" w:rsidRPr="00E3424C" w14:paraId="2F3103F7" w14:textId="77777777" w:rsidTr="009C76F1">
              <w:trPr>
                <w:trHeight w:val="271"/>
              </w:trPr>
              <w:tc>
                <w:tcPr>
                  <w:tcW w:w="921" w:type="dxa"/>
                  <w:vMerge/>
                  <w:shd w:val="clear" w:color="auto" w:fill="F7CAAC" w:themeFill="accent2" w:themeFillTint="66"/>
                  <w:vAlign w:val="center"/>
                </w:tcPr>
                <w:p w14:paraId="2AB814BF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</w:tcPr>
                <w:p w14:paraId="7300A7F1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922" w:type="dxa"/>
                  <w:shd w:val="clear" w:color="auto" w:fill="FFCCFF"/>
                </w:tcPr>
                <w:p w14:paraId="7B37D078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508" w:type="dxa"/>
                </w:tcPr>
                <w:p w14:paraId="2745789E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-</w:t>
                  </w:r>
                </w:p>
              </w:tc>
            </w:tr>
            <w:tr w:rsidR="006E2720" w:rsidRPr="00E3424C" w14:paraId="06306CFC" w14:textId="77777777" w:rsidTr="009C76F1">
              <w:trPr>
                <w:trHeight w:val="521"/>
              </w:trPr>
              <w:tc>
                <w:tcPr>
                  <w:tcW w:w="921" w:type="dxa"/>
                  <w:vMerge/>
                  <w:shd w:val="clear" w:color="auto" w:fill="F7CAAC" w:themeFill="accent2" w:themeFillTint="66"/>
                </w:tcPr>
                <w:p w14:paraId="0671E7E9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</w:tcPr>
                <w:p w14:paraId="5ADA8C91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Rwanda</w:t>
                  </w:r>
                </w:p>
              </w:tc>
              <w:tc>
                <w:tcPr>
                  <w:tcW w:w="922" w:type="dxa"/>
                  <w:shd w:val="clear" w:color="auto" w:fill="FFCCFF"/>
                </w:tcPr>
                <w:p w14:paraId="0D4F75FD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15,5</w:t>
                  </w:r>
                </w:p>
                <w:p w14:paraId="3C6E202F" w14:textId="77777777" w:rsidR="006E2720" w:rsidRPr="009C6A1A" w:rsidRDefault="006E2720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 xml:space="preserve">(15 </w:t>
                  </w:r>
                  <w:proofErr w:type="spellStart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Meur</w:t>
                  </w:r>
                  <w:proofErr w:type="spellEnd"/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508" w:type="dxa"/>
                </w:tcPr>
                <w:p w14:paraId="67D58A88" w14:textId="070318D3" w:rsidR="006E2720" w:rsidRPr="009C6A1A" w:rsidRDefault="00844F2D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Convention de Don signé en 2013.</w:t>
                  </w:r>
                </w:p>
              </w:tc>
            </w:tr>
            <w:tr w:rsidR="00514368" w:rsidRPr="00E3424C" w14:paraId="60516EAE" w14:textId="77777777" w:rsidTr="009C76F1">
              <w:trPr>
                <w:trHeight w:val="249"/>
              </w:trPr>
              <w:tc>
                <w:tcPr>
                  <w:tcW w:w="921" w:type="dxa"/>
                  <w:vMerge w:val="restart"/>
                  <w:shd w:val="clear" w:color="auto" w:fill="FBE4D5" w:themeFill="accent2" w:themeFillTint="33"/>
                </w:tcPr>
                <w:p w14:paraId="5B14BEDC" w14:textId="77777777" w:rsidR="00BC6CDB" w:rsidRDefault="00BC6CDB" w:rsidP="00BC6CDB">
                  <w:pPr>
                    <w:pStyle w:val="Sansinterligne1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73F716F1" w14:textId="77777777" w:rsidR="00514368" w:rsidRPr="009C6A1A" w:rsidRDefault="00514368" w:rsidP="00BC6CDB">
                  <w:pPr>
                    <w:pStyle w:val="Sansinterligne1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AFD</w:t>
                  </w:r>
                </w:p>
                <w:p w14:paraId="0AD1B067" w14:textId="4E36961C" w:rsidR="00514368" w:rsidRPr="009C6A1A" w:rsidRDefault="00514368" w:rsidP="00BC6CDB">
                  <w:pPr>
                    <w:pStyle w:val="Sansinterligne1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</w:tcPr>
                <w:p w14:paraId="29692361" w14:textId="77777777" w:rsidR="00514368" w:rsidRPr="009C6A1A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Burundi</w:t>
                  </w:r>
                </w:p>
              </w:tc>
              <w:tc>
                <w:tcPr>
                  <w:tcW w:w="922" w:type="dxa"/>
                  <w:shd w:val="clear" w:color="auto" w:fill="99CCFF"/>
                </w:tcPr>
                <w:p w14:paraId="45EAD776" w14:textId="77777777" w:rsidR="00514368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9C6A1A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0,4</w:t>
                  </w:r>
                </w:p>
                <w:p w14:paraId="417F1069" w14:textId="77777777" w:rsidR="00BC6CDB" w:rsidRPr="009C6A1A" w:rsidRDefault="00BC6CDB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508" w:type="dxa"/>
                </w:tcPr>
                <w:p w14:paraId="42A5739F" w14:textId="77777777" w:rsidR="00514368" w:rsidRPr="009C6A1A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Promesse de don</w:t>
                  </w:r>
                </w:p>
              </w:tc>
            </w:tr>
            <w:tr w:rsidR="00514368" w:rsidRPr="00E3424C" w14:paraId="5D8359F7" w14:textId="77777777" w:rsidTr="009C76F1">
              <w:trPr>
                <w:trHeight w:val="260"/>
              </w:trPr>
              <w:tc>
                <w:tcPr>
                  <w:tcW w:w="921" w:type="dxa"/>
                  <w:vMerge/>
                  <w:shd w:val="clear" w:color="auto" w:fill="FBE4D5" w:themeFill="accent2" w:themeFillTint="33"/>
                  <w:vAlign w:val="center"/>
                </w:tcPr>
                <w:p w14:paraId="2F0FF3D6" w14:textId="36D3BC99" w:rsidR="00514368" w:rsidRPr="009C6A1A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819" w:type="dxa"/>
                </w:tcPr>
                <w:p w14:paraId="120A1E6E" w14:textId="77777777" w:rsidR="00514368" w:rsidRPr="009C6A1A" w:rsidDel="00765E9A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RDC</w:t>
                  </w:r>
                </w:p>
              </w:tc>
              <w:tc>
                <w:tcPr>
                  <w:tcW w:w="922" w:type="dxa"/>
                  <w:shd w:val="clear" w:color="auto" w:fill="99CCFF"/>
                </w:tcPr>
                <w:p w14:paraId="293E1297" w14:textId="77777777" w:rsidR="00514368" w:rsidRPr="009C6A1A" w:rsidDel="00765E9A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508" w:type="dxa"/>
                </w:tcPr>
                <w:p w14:paraId="5D58A607" w14:textId="77777777" w:rsidR="00514368" w:rsidRDefault="00514368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Promesse de prêt</w:t>
                  </w:r>
                </w:p>
                <w:p w14:paraId="4D5C0046" w14:textId="77777777" w:rsidR="00BC6CDB" w:rsidRPr="009C6A1A" w:rsidRDefault="00BC6CDB" w:rsidP="006E2720">
                  <w:pPr>
                    <w:pStyle w:val="Sansinterligne1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56DAB2" w14:textId="77777777" w:rsidR="00144487" w:rsidRPr="001B3006" w:rsidRDefault="00144487" w:rsidP="009C76F1">
            <w:pPr>
              <w:pStyle w:val="Paragraphedeliste"/>
              <w:numPr>
                <w:ilvl w:val="0"/>
                <w:numId w:val="1"/>
              </w:numPr>
              <w:tabs>
                <w:tab w:val="left" w:pos="6730"/>
              </w:tabs>
              <w:spacing w:after="0" w:line="240" w:lineRule="aut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87B46BC" w14:textId="77777777" w:rsidR="00122403" w:rsidRDefault="00122403" w:rsidP="00AA7DA6">
      <w:pPr>
        <w:ind w:firstLine="708"/>
        <w:jc w:val="center"/>
        <w:rPr>
          <w:rFonts w:ascii="Century Gothic" w:hAnsi="Century Gothic"/>
          <w:sz w:val="24"/>
          <w:szCs w:val="24"/>
        </w:rPr>
      </w:pPr>
    </w:p>
    <w:p w14:paraId="3842CB0D" w14:textId="538AF6BA" w:rsidR="00B35B17" w:rsidRDefault="00B35B17" w:rsidP="00AA7DA6">
      <w:pPr>
        <w:ind w:firstLine="708"/>
        <w:jc w:val="center"/>
        <w:rPr>
          <w:rFonts w:ascii="Century Gothic" w:hAnsi="Century Gothic"/>
          <w:sz w:val="24"/>
          <w:szCs w:val="24"/>
        </w:rPr>
      </w:pPr>
      <w:r w:rsidRPr="00843A4F">
        <w:rPr>
          <w:rFonts w:ascii="Century Gothic" w:hAnsi="Century Gothic"/>
          <w:sz w:val="24"/>
          <w:szCs w:val="24"/>
        </w:rPr>
        <w:t>Fait à Bujumbura, le</w:t>
      </w:r>
      <w:r>
        <w:rPr>
          <w:rFonts w:ascii="Century Gothic" w:hAnsi="Century Gothic"/>
          <w:sz w:val="24"/>
          <w:szCs w:val="24"/>
        </w:rPr>
        <w:t> ………../…………/</w:t>
      </w:r>
      <w:r w:rsidRPr="00843A4F">
        <w:rPr>
          <w:rFonts w:ascii="Century Gothic" w:hAnsi="Century Gothic"/>
          <w:sz w:val="24"/>
          <w:szCs w:val="24"/>
        </w:rPr>
        <w:t>202</w:t>
      </w:r>
      <w:r w:rsidR="004A7405">
        <w:rPr>
          <w:rFonts w:ascii="Century Gothic" w:hAnsi="Century Gothic"/>
          <w:sz w:val="24"/>
          <w:szCs w:val="24"/>
        </w:rPr>
        <w:t>4</w:t>
      </w:r>
    </w:p>
    <w:p w14:paraId="02DAE556" w14:textId="77777777" w:rsidR="00E9228B" w:rsidRDefault="00E9228B" w:rsidP="00AA7DA6">
      <w:pPr>
        <w:spacing w:after="0" w:line="240" w:lineRule="auto"/>
        <w:ind w:left="3538"/>
        <w:jc w:val="center"/>
        <w:rPr>
          <w:rFonts w:ascii="Century Gothic" w:hAnsi="Century Gothic"/>
          <w:b/>
          <w:sz w:val="24"/>
          <w:szCs w:val="24"/>
        </w:rPr>
      </w:pPr>
    </w:p>
    <w:p w14:paraId="1334C3D3" w14:textId="1D91F118" w:rsidR="00B35B17" w:rsidRDefault="00B35B17" w:rsidP="00AA7DA6">
      <w:pPr>
        <w:spacing w:after="0" w:line="240" w:lineRule="auto"/>
        <w:ind w:left="720"/>
        <w:jc w:val="center"/>
        <w:rPr>
          <w:rFonts w:ascii="Century Gothic" w:hAnsi="Century Gothic"/>
          <w:b/>
          <w:sz w:val="24"/>
          <w:szCs w:val="24"/>
        </w:rPr>
      </w:pPr>
      <w:r w:rsidRPr="00843A4F">
        <w:rPr>
          <w:rFonts w:ascii="Century Gothic" w:hAnsi="Century Gothic"/>
          <w:b/>
          <w:sz w:val="24"/>
          <w:szCs w:val="24"/>
        </w:rPr>
        <w:t>LE DIRECTEUR GENERAL,</w:t>
      </w:r>
    </w:p>
    <w:p w14:paraId="6A492A06" w14:textId="77777777" w:rsidR="00B35B17" w:rsidRPr="00843A4F" w:rsidRDefault="00B35B17" w:rsidP="00AA7DA6">
      <w:pPr>
        <w:spacing w:after="0" w:line="240" w:lineRule="auto"/>
        <w:ind w:left="720"/>
        <w:jc w:val="center"/>
        <w:rPr>
          <w:rFonts w:ascii="Century Gothic" w:hAnsi="Century Gothic"/>
          <w:b/>
          <w:sz w:val="24"/>
          <w:szCs w:val="24"/>
        </w:rPr>
      </w:pPr>
    </w:p>
    <w:p w14:paraId="13DE271C" w14:textId="77777777" w:rsidR="00B35B17" w:rsidRPr="00843A4F" w:rsidRDefault="00B35B17" w:rsidP="00AA7DA6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14:paraId="713BFDE3" w14:textId="55D03BFC" w:rsidR="002C7C7D" w:rsidRPr="00843A4F" w:rsidRDefault="00B35B17" w:rsidP="00AA7DA6">
      <w:pPr>
        <w:spacing w:after="0" w:line="240" w:lineRule="auto"/>
        <w:ind w:left="720"/>
        <w:jc w:val="center"/>
        <w:rPr>
          <w:rFonts w:ascii="Century Gothic" w:hAnsi="Century Gothic"/>
          <w:sz w:val="24"/>
          <w:szCs w:val="24"/>
        </w:rPr>
      </w:pPr>
      <w:r w:rsidRPr="00843A4F">
        <w:rPr>
          <w:rFonts w:ascii="Century Gothic" w:hAnsi="Century Gothic"/>
          <w:b/>
          <w:sz w:val="24"/>
          <w:szCs w:val="24"/>
        </w:rPr>
        <w:t>Charles VUMBI MBENGA</w:t>
      </w:r>
    </w:p>
    <w:sectPr w:rsidR="002C7C7D" w:rsidRPr="00843A4F" w:rsidSect="009C76F1">
      <w:footerReference w:type="default" r:id="rId9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EF8F" w14:textId="77777777" w:rsidR="00055301" w:rsidRDefault="00055301" w:rsidP="00B67E12">
      <w:pPr>
        <w:spacing w:after="0" w:line="240" w:lineRule="auto"/>
      </w:pPr>
      <w:r>
        <w:separator/>
      </w:r>
    </w:p>
  </w:endnote>
  <w:endnote w:type="continuationSeparator" w:id="0">
    <w:p w14:paraId="42029081" w14:textId="77777777" w:rsidR="00055301" w:rsidRDefault="00055301" w:rsidP="00B6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484021" w14:paraId="4A2EFB0A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DACC80E" w14:textId="77777777" w:rsidR="00484021" w:rsidRDefault="00484021">
          <w:pPr>
            <w:pStyle w:val="En-tte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8838FC2" w14:textId="77777777" w:rsidR="00484021" w:rsidRDefault="00484021">
          <w:pPr>
            <w:pStyle w:val="En-tte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484021" w14:paraId="079DCB36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07618840" w14:textId="577D04E2" w:rsidR="00484021" w:rsidRDefault="00484021">
          <w:pPr>
            <w:pStyle w:val="Pieddepage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3B4BC04" w14:textId="72314065" w:rsidR="00484021" w:rsidRDefault="00484021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  <w:tr w:rsidR="00484021" w14:paraId="6C50D82A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58B8CFE0" w14:textId="77777777" w:rsidR="00484021" w:rsidRDefault="00484021">
          <w:pPr>
            <w:pStyle w:val="Pieddepage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450BAF4C" w14:textId="77777777" w:rsidR="00484021" w:rsidRDefault="00484021">
          <w:pPr>
            <w:pStyle w:val="Pieddepage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DFD57A4" w14:textId="77777777" w:rsidR="00B67E12" w:rsidRDefault="00B67E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765364"/>
      <w:docPartObj>
        <w:docPartGallery w:val="Page Numbers (Bottom of Page)"/>
        <w:docPartUnique/>
      </w:docPartObj>
    </w:sdtPr>
    <w:sdtEndPr>
      <w:rPr>
        <w:rFonts w:ascii="Century Gothic" w:hAnsi="Century Gothic"/>
        <w:sz w:val="24"/>
        <w:szCs w:val="24"/>
      </w:rPr>
    </w:sdtEndPr>
    <w:sdtContent>
      <w:p w14:paraId="187F702C" w14:textId="31BF3B7F" w:rsidR="00E6306E" w:rsidRPr="00E6306E" w:rsidRDefault="00E6306E">
        <w:pPr>
          <w:pStyle w:val="Pieddepage"/>
          <w:jc w:val="center"/>
          <w:rPr>
            <w:rFonts w:ascii="Century Gothic" w:hAnsi="Century Gothic"/>
            <w:sz w:val="24"/>
            <w:szCs w:val="24"/>
          </w:rPr>
        </w:pPr>
        <w:r w:rsidRPr="00E6306E">
          <w:rPr>
            <w:rFonts w:ascii="Century Gothic" w:hAnsi="Century Gothic"/>
            <w:sz w:val="24"/>
            <w:szCs w:val="24"/>
          </w:rPr>
          <w:fldChar w:fldCharType="begin"/>
        </w:r>
        <w:r w:rsidRPr="00E6306E">
          <w:rPr>
            <w:rFonts w:ascii="Century Gothic" w:hAnsi="Century Gothic"/>
            <w:sz w:val="24"/>
            <w:szCs w:val="24"/>
          </w:rPr>
          <w:instrText>PAGE   \* MERGEFORMAT</w:instrText>
        </w:r>
        <w:r w:rsidRPr="00E6306E">
          <w:rPr>
            <w:rFonts w:ascii="Century Gothic" w:hAnsi="Century Gothic"/>
            <w:sz w:val="24"/>
            <w:szCs w:val="24"/>
          </w:rPr>
          <w:fldChar w:fldCharType="separate"/>
        </w:r>
        <w:r w:rsidR="008B77DB">
          <w:rPr>
            <w:rFonts w:ascii="Century Gothic" w:hAnsi="Century Gothic"/>
            <w:noProof/>
            <w:sz w:val="24"/>
            <w:szCs w:val="24"/>
          </w:rPr>
          <w:t>7</w:t>
        </w:r>
        <w:r w:rsidRPr="00E6306E">
          <w:rPr>
            <w:rFonts w:ascii="Century Gothic" w:hAnsi="Century Gothic"/>
            <w:sz w:val="24"/>
            <w:szCs w:val="24"/>
          </w:rPr>
          <w:fldChar w:fldCharType="end"/>
        </w:r>
      </w:p>
    </w:sdtContent>
  </w:sdt>
  <w:p w14:paraId="08A28829" w14:textId="220270F7" w:rsidR="00045E6A" w:rsidRDefault="00E6306E" w:rsidP="00E6306E">
    <w:pPr>
      <w:pStyle w:val="Pieddepage"/>
      <w:tabs>
        <w:tab w:val="clear" w:pos="4680"/>
        <w:tab w:val="clear" w:pos="9360"/>
        <w:tab w:val="left" w:pos="22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8D5BC" w14:textId="77777777" w:rsidR="00055301" w:rsidRDefault="00055301" w:rsidP="00B67E12">
      <w:pPr>
        <w:spacing w:after="0" w:line="240" w:lineRule="auto"/>
      </w:pPr>
      <w:r>
        <w:separator/>
      </w:r>
    </w:p>
  </w:footnote>
  <w:footnote w:type="continuationSeparator" w:id="0">
    <w:p w14:paraId="0EED2A85" w14:textId="77777777" w:rsidR="00055301" w:rsidRDefault="00055301" w:rsidP="00B67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B1E4B"/>
    <w:multiLevelType w:val="hybridMultilevel"/>
    <w:tmpl w:val="4E4C2D66"/>
    <w:lvl w:ilvl="0" w:tplc="FFFFFFFF">
      <w:start w:val="1"/>
      <w:numFmt w:val="decimal"/>
      <w:lvlText w:val="%1."/>
      <w:lvlJc w:val="left"/>
      <w:pPr>
        <w:ind w:left="-5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" w:hanging="360"/>
      </w:pPr>
    </w:lvl>
    <w:lvl w:ilvl="2" w:tplc="FFFFFFFF" w:tentative="1">
      <w:start w:val="1"/>
      <w:numFmt w:val="lowerRoman"/>
      <w:lvlText w:val="%3."/>
      <w:lvlJc w:val="right"/>
      <w:pPr>
        <w:ind w:left="916" w:hanging="180"/>
      </w:pPr>
    </w:lvl>
    <w:lvl w:ilvl="3" w:tplc="FFFFFFFF" w:tentative="1">
      <w:start w:val="1"/>
      <w:numFmt w:val="decimal"/>
      <w:lvlText w:val="%4."/>
      <w:lvlJc w:val="left"/>
      <w:pPr>
        <w:ind w:left="1636" w:hanging="360"/>
      </w:pPr>
    </w:lvl>
    <w:lvl w:ilvl="4" w:tplc="FFFFFFFF" w:tentative="1">
      <w:start w:val="1"/>
      <w:numFmt w:val="lowerLetter"/>
      <w:lvlText w:val="%5."/>
      <w:lvlJc w:val="left"/>
      <w:pPr>
        <w:ind w:left="2356" w:hanging="360"/>
      </w:pPr>
    </w:lvl>
    <w:lvl w:ilvl="5" w:tplc="FFFFFFFF" w:tentative="1">
      <w:start w:val="1"/>
      <w:numFmt w:val="lowerRoman"/>
      <w:lvlText w:val="%6."/>
      <w:lvlJc w:val="right"/>
      <w:pPr>
        <w:ind w:left="3076" w:hanging="180"/>
      </w:pPr>
    </w:lvl>
    <w:lvl w:ilvl="6" w:tplc="FFFFFFFF" w:tentative="1">
      <w:start w:val="1"/>
      <w:numFmt w:val="decimal"/>
      <w:lvlText w:val="%7."/>
      <w:lvlJc w:val="left"/>
      <w:pPr>
        <w:ind w:left="3796" w:hanging="360"/>
      </w:pPr>
    </w:lvl>
    <w:lvl w:ilvl="7" w:tplc="FFFFFFFF" w:tentative="1">
      <w:start w:val="1"/>
      <w:numFmt w:val="lowerLetter"/>
      <w:lvlText w:val="%8."/>
      <w:lvlJc w:val="left"/>
      <w:pPr>
        <w:ind w:left="4516" w:hanging="360"/>
      </w:pPr>
    </w:lvl>
    <w:lvl w:ilvl="8" w:tplc="FFFFFFFF" w:tentative="1">
      <w:start w:val="1"/>
      <w:numFmt w:val="lowerRoman"/>
      <w:lvlText w:val="%9."/>
      <w:lvlJc w:val="right"/>
      <w:pPr>
        <w:ind w:left="5236" w:hanging="180"/>
      </w:pPr>
    </w:lvl>
  </w:abstractNum>
  <w:abstractNum w:abstractNumId="1">
    <w:nsid w:val="06FE5DD0"/>
    <w:multiLevelType w:val="hybridMultilevel"/>
    <w:tmpl w:val="73969F2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83412"/>
    <w:multiLevelType w:val="hybridMultilevel"/>
    <w:tmpl w:val="C0B0B1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060B0B"/>
    <w:multiLevelType w:val="hybridMultilevel"/>
    <w:tmpl w:val="886E880A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9AD26E6"/>
    <w:multiLevelType w:val="hybridMultilevel"/>
    <w:tmpl w:val="EF6E16D4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A625FE4"/>
    <w:multiLevelType w:val="hybridMultilevel"/>
    <w:tmpl w:val="11A06952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F26FA"/>
    <w:multiLevelType w:val="hybridMultilevel"/>
    <w:tmpl w:val="ECE0D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432FC"/>
    <w:multiLevelType w:val="hybridMultilevel"/>
    <w:tmpl w:val="97EA5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74734"/>
    <w:multiLevelType w:val="hybridMultilevel"/>
    <w:tmpl w:val="BC9C3D8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39EB324C"/>
    <w:multiLevelType w:val="hybridMultilevel"/>
    <w:tmpl w:val="4E4C2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57EB3"/>
    <w:multiLevelType w:val="hybridMultilevel"/>
    <w:tmpl w:val="886E880A"/>
    <w:lvl w:ilvl="0" w:tplc="FFFFFFFF">
      <w:start w:val="1"/>
      <w:numFmt w:val="lowerLetter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2C25E8"/>
    <w:multiLevelType w:val="hybridMultilevel"/>
    <w:tmpl w:val="73969F2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A172F8"/>
    <w:multiLevelType w:val="hybridMultilevel"/>
    <w:tmpl w:val="CF86DC3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100A40"/>
    <w:multiLevelType w:val="hybridMultilevel"/>
    <w:tmpl w:val="11A06952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3A1755"/>
    <w:multiLevelType w:val="hybridMultilevel"/>
    <w:tmpl w:val="D8385896"/>
    <w:lvl w:ilvl="0" w:tplc="FAECFC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A510B"/>
    <w:multiLevelType w:val="hybridMultilevel"/>
    <w:tmpl w:val="52FABFC6"/>
    <w:lvl w:ilvl="0" w:tplc="040C0003">
      <w:start w:val="1"/>
      <w:numFmt w:val="bullet"/>
      <w:lvlText w:val="o"/>
      <w:lvlJc w:val="left"/>
      <w:pPr>
        <w:ind w:left="-151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-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</w:abstractNum>
  <w:abstractNum w:abstractNumId="16">
    <w:nsid w:val="4A130AB8"/>
    <w:multiLevelType w:val="hybridMultilevel"/>
    <w:tmpl w:val="902446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312BE"/>
    <w:multiLevelType w:val="hybridMultilevel"/>
    <w:tmpl w:val="08AE6114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CE93AD8"/>
    <w:multiLevelType w:val="hybridMultilevel"/>
    <w:tmpl w:val="6020FF52"/>
    <w:lvl w:ilvl="0" w:tplc="8C22636E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3E3B29"/>
    <w:multiLevelType w:val="hybridMultilevel"/>
    <w:tmpl w:val="8AB4B2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722DA6"/>
    <w:multiLevelType w:val="hybridMultilevel"/>
    <w:tmpl w:val="01EE40C8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F22508"/>
    <w:multiLevelType w:val="hybridMultilevel"/>
    <w:tmpl w:val="ACCE0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8384E"/>
    <w:multiLevelType w:val="hybridMultilevel"/>
    <w:tmpl w:val="9154CD4C"/>
    <w:lvl w:ilvl="0" w:tplc="8C22636E">
      <w:start w:val="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C484854"/>
    <w:multiLevelType w:val="hybridMultilevel"/>
    <w:tmpl w:val="4E4C2D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E1191"/>
    <w:multiLevelType w:val="hybridMultilevel"/>
    <w:tmpl w:val="5936D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AFD2217"/>
    <w:multiLevelType w:val="hybridMultilevel"/>
    <w:tmpl w:val="04768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8"/>
  </w:num>
  <w:num w:numId="5">
    <w:abstractNumId w:val="5"/>
  </w:num>
  <w:num w:numId="6">
    <w:abstractNumId w:val="24"/>
  </w:num>
  <w:num w:numId="7">
    <w:abstractNumId w:val="21"/>
  </w:num>
  <w:num w:numId="8">
    <w:abstractNumId w:val="14"/>
  </w:num>
  <w:num w:numId="9">
    <w:abstractNumId w:val="25"/>
  </w:num>
  <w:num w:numId="10">
    <w:abstractNumId w:val="4"/>
  </w:num>
  <w:num w:numId="11">
    <w:abstractNumId w:val="8"/>
  </w:num>
  <w:num w:numId="12">
    <w:abstractNumId w:val="19"/>
  </w:num>
  <w:num w:numId="13">
    <w:abstractNumId w:val="6"/>
  </w:num>
  <w:num w:numId="14">
    <w:abstractNumId w:val="3"/>
  </w:num>
  <w:num w:numId="15">
    <w:abstractNumId w:val="10"/>
  </w:num>
  <w:num w:numId="16">
    <w:abstractNumId w:val="9"/>
  </w:num>
  <w:num w:numId="17">
    <w:abstractNumId w:val="0"/>
  </w:num>
  <w:num w:numId="18">
    <w:abstractNumId w:val="23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"/>
  </w:num>
  <w:num w:numId="22">
    <w:abstractNumId w:val="13"/>
  </w:num>
  <w:num w:numId="23">
    <w:abstractNumId w:val="11"/>
  </w:num>
  <w:num w:numId="24">
    <w:abstractNumId w:val="12"/>
  </w:num>
  <w:num w:numId="25">
    <w:abstractNumId w:val="2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7"/>
    <w:rsid w:val="00002CF6"/>
    <w:rsid w:val="0000754A"/>
    <w:rsid w:val="00015C6A"/>
    <w:rsid w:val="00025EC1"/>
    <w:rsid w:val="00031E71"/>
    <w:rsid w:val="00042FF2"/>
    <w:rsid w:val="00045304"/>
    <w:rsid w:val="00045E6A"/>
    <w:rsid w:val="000507DF"/>
    <w:rsid w:val="00055301"/>
    <w:rsid w:val="00056FF3"/>
    <w:rsid w:val="000679DB"/>
    <w:rsid w:val="00070966"/>
    <w:rsid w:val="00080065"/>
    <w:rsid w:val="0008516A"/>
    <w:rsid w:val="000927A1"/>
    <w:rsid w:val="00097839"/>
    <w:rsid w:val="000C6407"/>
    <w:rsid w:val="000D6E02"/>
    <w:rsid w:val="000F3A6C"/>
    <w:rsid w:val="00102DAB"/>
    <w:rsid w:val="00122403"/>
    <w:rsid w:val="00127846"/>
    <w:rsid w:val="00133BB5"/>
    <w:rsid w:val="00144487"/>
    <w:rsid w:val="00155742"/>
    <w:rsid w:val="00157AF5"/>
    <w:rsid w:val="001606D5"/>
    <w:rsid w:val="00166433"/>
    <w:rsid w:val="001713D2"/>
    <w:rsid w:val="00187736"/>
    <w:rsid w:val="001A4155"/>
    <w:rsid w:val="001B3006"/>
    <w:rsid w:val="001B78A3"/>
    <w:rsid w:val="001D74BC"/>
    <w:rsid w:val="001E4B45"/>
    <w:rsid w:val="002367E5"/>
    <w:rsid w:val="002473D4"/>
    <w:rsid w:val="002632E8"/>
    <w:rsid w:val="00263D82"/>
    <w:rsid w:val="00293E7A"/>
    <w:rsid w:val="00297701"/>
    <w:rsid w:val="002B55BE"/>
    <w:rsid w:val="002C7C7D"/>
    <w:rsid w:val="002D5198"/>
    <w:rsid w:val="002E51E0"/>
    <w:rsid w:val="002E6617"/>
    <w:rsid w:val="002F38C3"/>
    <w:rsid w:val="00303DEF"/>
    <w:rsid w:val="00314CC5"/>
    <w:rsid w:val="00314DEB"/>
    <w:rsid w:val="00344472"/>
    <w:rsid w:val="00372E35"/>
    <w:rsid w:val="00377395"/>
    <w:rsid w:val="003B2581"/>
    <w:rsid w:val="003C6757"/>
    <w:rsid w:val="003C6874"/>
    <w:rsid w:val="003E0B05"/>
    <w:rsid w:val="00421868"/>
    <w:rsid w:val="00421EE1"/>
    <w:rsid w:val="00426E90"/>
    <w:rsid w:val="00483C18"/>
    <w:rsid w:val="00484021"/>
    <w:rsid w:val="00494FE5"/>
    <w:rsid w:val="004A5C7A"/>
    <w:rsid w:val="004A7405"/>
    <w:rsid w:val="004E3067"/>
    <w:rsid w:val="004F4F4A"/>
    <w:rsid w:val="00506DA8"/>
    <w:rsid w:val="00514368"/>
    <w:rsid w:val="005211E1"/>
    <w:rsid w:val="005259AD"/>
    <w:rsid w:val="00531601"/>
    <w:rsid w:val="005357C6"/>
    <w:rsid w:val="00542867"/>
    <w:rsid w:val="005453AE"/>
    <w:rsid w:val="005501FC"/>
    <w:rsid w:val="00554AAD"/>
    <w:rsid w:val="00562D41"/>
    <w:rsid w:val="005678A7"/>
    <w:rsid w:val="00571E2D"/>
    <w:rsid w:val="005A02BA"/>
    <w:rsid w:val="005A1A59"/>
    <w:rsid w:val="005B6391"/>
    <w:rsid w:val="00604BEE"/>
    <w:rsid w:val="006120A7"/>
    <w:rsid w:val="0062422C"/>
    <w:rsid w:val="00630A3C"/>
    <w:rsid w:val="006448C5"/>
    <w:rsid w:val="00656F82"/>
    <w:rsid w:val="00663D19"/>
    <w:rsid w:val="006770BA"/>
    <w:rsid w:val="006818ED"/>
    <w:rsid w:val="00692394"/>
    <w:rsid w:val="00692CD4"/>
    <w:rsid w:val="006A0BA1"/>
    <w:rsid w:val="006B247F"/>
    <w:rsid w:val="006D1BEF"/>
    <w:rsid w:val="006D270D"/>
    <w:rsid w:val="006D38E3"/>
    <w:rsid w:val="006D6A61"/>
    <w:rsid w:val="006E2720"/>
    <w:rsid w:val="006F205C"/>
    <w:rsid w:val="0070057F"/>
    <w:rsid w:val="00703823"/>
    <w:rsid w:val="00710147"/>
    <w:rsid w:val="0071266F"/>
    <w:rsid w:val="007153A2"/>
    <w:rsid w:val="007314DB"/>
    <w:rsid w:val="007449B4"/>
    <w:rsid w:val="00762DE1"/>
    <w:rsid w:val="007721C9"/>
    <w:rsid w:val="007A0B31"/>
    <w:rsid w:val="007B7AC3"/>
    <w:rsid w:val="007D4AAA"/>
    <w:rsid w:val="007E6568"/>
    <w:rsid w:val="0081402C"/>
    <w:rsid w:val="00825100"/>
    <w:rsid w:val="00843A34"/>
    <w:rsid w:val="00844F2D"/>
    <w:rsid w:val="00852386"/>
    <w:rsid w:val="00854D8D"/>
    <w:rsid w:val="00854F39"/>
    <w:rsid w:val="00861869"/>
    <w:rsid w:val="00895769"/>
    <w:rsid w:val="008967F8"/>
    <w:rsid w:val="008B77DB"/>
    <w:rsid w:val="008C078B"/>
    <w:rsid w:val="008D4F0B"/>
    <w:rsid w:val="008F7D4C"/>
    <w:rsid w:val="00900ED8"/>
    <w:rsid w:val="00902B9E"/>
    <w:rsid w:val="009265CC"/>
    <w:rsid w:val="0093222F"/>
    <w:rsid w:val="00936C7E"/>
    <w:rsid w:val="0093777D"/>
    <w:rsid w:val="00945B14"/>
    <w:rsid w:val="009510D9"/>
    <w:rsid w:val="00956EE2"/>
    <w:rsid w:val="00960F5C"/>
    <w:rsid w:val="00972FB2"/>
    <w:rsid w:val="009840BD"/>
    <w:rsid w:val="009C377B"/>
    <w:rsid w:val="009C76F1"/>
    <w:rsid w:val="009D7F13"/>
    <w:rsid w:val="00A02326"/>
    <w:rsid w:val="00A038CF"/>
    <w:rsid w:val="00A16340"/>
    <w:rsid w:val="00A2204B"/>
    <w:rsid w:val="00A25393"/>
    <w:rsid w:val="00A646FE"/>
    <w:rsid w:val="00A6505B"/>
    <w:rsid w:val="00A939E0"/>
    <w:rsid w:val="00A973FE"/>
    <w:rsid w:val="00AA5822"/>
    <w:rsid w:val="00AA7DA6"/>
    <w:rsid w:val="00AB7FE1"/>
    <w:rsid w:val="00B052F8"/>
    <w:rsid w:val="00B11217"/>
    <w:rsid w:val="00B13398"/>
    <w:rsid w:val="00B218C6"/>
    <w:rsid w:val="00B35B17"/>
    <w:rsid w:val="00B40B18"/>
    <w:rsid w:val="00B42829"/>
    <w:rsid w:val="00B459CF"/>
    <w:rsid w:val="00B66AE0"/>
    <w:rsid w:val="00B67E12"/>
    <w:rsid w:val="00B77364"/>
    <w:rsid w:val="00B860A6"/>
    <w:rsid w:val="00BB1CC8"/>
    <w:rsid w:val="00BC338D"/>
    <w:rsid w:val="00BC6CDB"/>
    <w:rsid w:val="00BD572E"/>
    <w:rsid w:val="00BD599F"/>
    <w:rsid w:val="00BF21D0"/>
    <w:rsid w:val="00BF461B"/>
    <w:rsid w:val="00C11F35"/>
    <w:rsid w:val="00C25351"/>
    <w:rsid w:val="00C725C5"/>
    <w:rsid w:val="00C72C49"/>
    <w:rsid w:val="00C867F9"/>
    <w:rsid w:val="00CA1A48"/>
    <w:rsid w:val="00CA1CD0"/>
    <w:rsid w:val="00CA623D"/>
    <w:rsid w:val="00CC010C"/>
    <w:rsid w:val="00CC2A19"/>
    <w:rsid w:val="00CC2DE8"/>
    <w:rsid w:val="00CC4D1A"/>
    <w:rsid w:val="00CC66B1"/>
    <w:rsid w:val="00CD7F52"/>
    <w:rsid w:val="00CE5978"/>
    <w:rsid w:val="00CE6473"/>
    <w:rsid w:val="00CE7C9D"/>
    <w:rsid w:val="00CE7E24"/>
    <w:rsid w:val="00D051BA"/>
    <w:rsid w:val="00D07FE2"/>
    <w:rsid w:val="00D1613A"/>
    <w:rsid w:val="00D24727"/>
    <w:rsid w:val="00D31403"/>
    <w:rsid w:val="00D326E9"/>
    <w:rsid w:val="00D33BF8"/>
    <w:rsid w:val="00D47CAE"/>
    <w:rsid w:val="00D90D9F"/>
    <w:rsid w:val="00DA6773"/>
    <w:rsid w:val="00DB31D2"/>
    <w:rsid w:val="00DB5490"/>
    <w:rsid w:val="00E037C5"/>
    <w:rsid w:val="00E17523"/>
    <w:rsid w:val="00E21D1B"/>
    <w:rsid w:val="00E60116"/>
    <w:rsid w:val="00E6306E"/>
    <w:rsid w:val="00E82CCA"/>
    <w:rsid w:val="00E9228B"/>
    <w:rsid w:val="00EA26A2"/>
    <w:rsid w:val="00EA2EF1"/>
    <w:rsid w:val="00EC4E0F"/>
    <w:rsid w:val="00F0124A"/>
    <w:rsid w:val="00F341D2"/>
    <w:rsid w:val="00F41D3E"/>
    <w:rsid w:val="00F621AC"/>
    <w:rsid w:val="00F73F08"/>
    <w:rsid w:val="00F7528E"/>
    <w:rsid w:val="00F87993"/>
    <w:rsid w:val="00F949E9"/>
    <w:rsid w:val="00F95555"/>
    <w:rsid w:val="00FA42A4"/>
    <w:rsid w:val="00FA4AC6"/>
    <w:rsid w:val="00FC3661"/>
    <w:rsid w:val="00FC41BC"/>
    <w:rsid w:val="00FE04E6"/>
    <w:rsid w:val="00FE0A06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CE6F26"/>
  <w15:chartTrackingRefBased/>
  <w15:docId w15:val="{CBAC1E20-B0A1-4B83-900F-67CB1F5A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6D5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aliases w:val="WRDMAP figure placement table,Table NoGrid,网格型!,（网格型）,ERM Table,Table long document,Table Grid CEPA,TNS table"/>
    <w:basedOn w:val="TableauNormal"/>
    <w:uiPriority w:val="39"/>
    <w:rsid w:val="00B35B17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35B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7E1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67E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7E12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351"/>
    <w:rPr>
      <w:rFonts w:ascii="Segoe UI" w:hAnsi="Segoe UI" w:cs="Segoe UI"/>
      <w:sz w:val="18"/>
      <w:szCs w:val="18"/>
      <w:lang w:val="fr-FR"/>
    </w:rPr>
  </w:style>
  <w:style w:type="paragraph" w:customStyle="1" w:styleId="Sansinterligne1">
    <w:name w:val="Sans interligne1"/>
    <w:uiPriority w:val="1"/>
    <w:qFormat/>
    <w:rsid w:val="006E2720"/>
    <w:pPr>
      <w:spacing w:after="0" w:line="240" w:lineRule="auto"/>
    </w:pPr>
    <w:rPr>
      <w:rFonts w:ascii="Calibri" w:eastAsia="Calibri" w:hAnsi="Calibri" w:cs="Times New Roman"/>
      <w:lang w:val="fr-FR"/>
    </w:rPr>
  </w:style>
  <w:style w:type="paragraph" w:styleId="Sansinterligne">
    <w:name w:val="No Spacing"/>
    <w:uiPriority w:val="1"/>
    <w:qFormat/>
    <w:rsid w:val="006D1BEF"/>
    <w:pPr>
      <w:spacing w:after="0" w:line="240" w:lineRule="auto"/>
    </w:pPr>
    <w:rPr>
      <w:lang w:val="fr-FR"/>
    </w:rPr>
  </w:style>
  <w:style w:type="table" w:styleId="TableauGrille4-Accentuation1">
    <w:name w:val="Grid Table 4 Accent 1"/>
    <w:basedOn w:val="TableauNormal"/>
    <w:uiPriority w:val="49"/>
    <w:rsid w:val="006D1BEF"/>
    <w:pPr>
      <w:spacing w:after="0" w:line="240" w:lineRule="auto"/>
    </w:pPr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1473</Words>
  <Characters>8103</Characters>
  <Application>Microsoft Office Word</Application>
  <DocSecurity>0</DocSecurity>
  <Lines>67</Lines>
  <Paragraphs>19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Compte Microsoft</cp:lastModifiedBy>
  <cp:revision>31</cp:revision>
  <cp:lastPrinted>2024-06-21T10:53:00Z</cp:lastPrinted>
  <dcterms:created xsi:type="dcterms:W3CDTF">2024-02-14T09:57:00Z</dcterms:created>
  <dcterms:modified xsi:type="dcterms:W3CDTF">2024-08-27T07:14:00Z</dcterms:modified>
</cp:coreProperties>
</file>